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3.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4.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5.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6.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7.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8.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9.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10.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11.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12.xml" ContentType="application/vnd.openxmlformats-officedocument.themeOverrid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13.xml" ContentType="application/vnd.openxmlformats-officedocument.themeOverrid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14.xml" ContentType="application/vnd.openxmlformats-officedocument.themeOverrid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15.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16.xml" ContentType="application/vnd.openxmlformats-officedocument.themeOverrid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17.xml" ContentType="application/vnd.openxmlformats-officedocument.themeOverrid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E2B9B" w14:textId="79D67B2C" w:rsidR="0842DDBE" w:rsidRDefault="0842DD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C6360C" w14:paraId="6B016F99" w14:textId="77777777" w:rsidTr="000B53CF">
        <w:tc>
          <w:tcPr>
            <w:tcW w:w="9179" w:type="dxa"/>
            <w:tcBorders>
              <w:top w:val="nil"/>
              <w:left w:val="nil"/>
              <w:bottom w:val="nil"/>
              <w:right w:val="nil"/>
            </w:tcBorders>
          </w:tcPr>
          <w:p w14:paraId="7CB29B6C" w14:textId="77777777" w:rsidR="00C6360C" w:rsidRPr="00E73028" w:rsidRDefault="00C6360C" w:rsidP="000B53CF">
            <w:pPr>
              <w:tabs>
                <w:tab w:val="left" w:pos="2126"/>
              </w:tabs>
              <w:jc w:val="center"/>
              <w:rPr>
                <w:b/>
              </w:rPr>
            </w:pPr>
            <w:r w:rsidRPr="00E73028">
              <w:rPr>
                <w:rFonts w:cs="Arial"/>
                <w:noProof/>
                <w:sz w:val="32"/>
                <w:szCs w:val="32"/>
                <w:lang w:eastAsia="en-GB"/>
              </w:rPr>
              <w:drawing>
                <wp:inline distT="0" distB="0" distL="0" distR="0" wp14:anchorId="0B85FB58" wp14:editId="2E081D63">
                  <wp:extent cx="2162175" cy="838200"/>
                  <wp:effectExtent l="0" t="0" r="9525" b="0"/>
                  <wp:docPr id="20" name="Picture 20" descr="dh&amp;scp-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amp;scp-logo-fin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838200"/>
                          </a:xfrm>
                          <a:prstGeom prst="rect">
                            <a:avLst/>
                          </a:prstGeom>
                          <a:noFill/>
                          <a:ln>
                            <a:noFill/>
                          </a:ln>
                        </pic:spPr>
                      </pic:pic>
                    </a:graphicData>
                  </a:graphic>
                </wp:inline>
              </w:drawing>
            </w:r>
          </w:p>
        </w:tc>
      </w:tr>
    </w:tbl>
    <w:p w14:paraId="31233A0B" w14:textId="77777777" w:rsidR="00C6360C" w:rsidRDefault="00C6360C" w:rsidP="00C6360C">
      <w:pPr>
        <w:tabs>
          <w:tab w:val="left" w:pos="2126"/>
        </w:tabs>
        <w:ind w:left="2126" w:hanging="2126"/>
        <w:jc w:val="both"/>
        <w:rPr>
          <w:b/>
        </w:rPr>
      </w:pPr>
    </w:p>
    <w:p w14:paraId="2F767C68" w14:textId="77777777" w:rsidR="00C6360C" w:rsidRPr="00C05614" w:rsidRDefault="00C6360C" w:rsidP="00C6360C">
      <w:pPr>
        <w:tabs>
          <w:tab w:val="left" w:pos="2126"/>
        </w:tabs>
        <w:jc w:val="both"/>
        <w:rPr>
          <w:b/>
        </w:rPr>
      </w:pPr>
    </w:p>
    <w:p w14:paraId="6F8F7566" w14:textId="02A02A80" w:rsidR="00C6360C" w:rsidRPr="00B30B75" w:rsidRDefault="00C6360C" w:rsidP="3B5491E2">
      <w:pPr>
        <w:tabs>
          <w:tab w:val="left" w:pos="2126"/>
        </w:tabs>
        <w:ind w:left="2126" w:hanging="2126"/>
        <w:jc w:val="both"/>
        <w:rPr>
          <w:b/>
          <w:bCs/>
        </w:rPr>
      </w:pPr>
      <w:r w:rsidRPr="6CB3F99A">
        <w:rPr>
          <w:b/>
          <w:bCs/>
        </w:rPr>
        <w:t>REPORT TO:</w:t>
      </w:r>
      <w:r>
        <w:tab/>
      </w:r>
      <w:r w:rsidRPr="6CB3F99A">
        <w:rPr>
          <w:b/>
          <w:bCs/>
        </w:rPr>
        <w:t xml:space="preserve">PERFORMANCE &amp; AUDIT COMMITTEE </w:t>
      </w:r>
      <w:proofErr w:type="gramStart"/>
      <w:r w:rsidRPr="6CB3F99A">
        <w:rPr>
          <w:b/>
          <w:bCs/>
        </w:rPr>
        <w:t xml:space="preserve">– </w:t>
      </w:r>
      <w:r w:rsidR="00C07E9A" w:rsidRPr="6CB3F99A">
        <w:rPr>
          <w:b/>
          <w:bCs/>
        </w:rPr>
        <w:t xml:space="preserve"> </w:t>
      </w:r>
      <w:r w:rsidR="001C5971" w:rsidRPr="001C5971">
        <w:rPr>
          <w:b/>
          <w:bCs/>
        </w:rPr>
        <w:t>25</w:t>
      </w:r>
      <w:proofErr w:type="gramEnd"/>
      <w:r w:rsidR="00DF5B58" w:rsidRPr="001C5971">
        <w:rPr>
          <w:b/>
          <w:bCs/>
        </w:rPr>
        <w:t xml:space="preserve"> </w:t>
      </w:r>
      <w:r w:rsidR="000241A7" w:rsidRPr="001C5971">
        <w:rPr>
          <w:b/>
          <w:bCs/>
        </w:rPr>
        <w:t>SEPTEMER</w:t>
      </w:r>
      <w:r w:rsidR="48C5CE06" w:rsidRPr="001C5971">
        <w:rPr>
          <w:b/>
          <w:bCs/>
        </w:rPr>
        <w:t xml:space="preserve"> </w:t>
      </w:r>
      <w:r w:rsidR="009E3C75" w:rsidRPr="001C5971">
        <w:rPr>
          <w:b/>
          <w:bCs/>
        </w:rPr>
        <w:t>2024</w:t>
      </w:r>
    </w:p>
    <w:p w14:paraId="6D97BF2A" w14:textId="77777777" w:rsidR="00C6360C" w:rsidRPr="00B30B75" w:rsidRDefault="00C6360C" w:rsidP="00C6360C">
      <w:pPr>
        <w:tabs>
          <w:tab w:val="left" w:pos="2126"/>
        </w:tabs>
        <w:ind w:left="2126" w:hanging="2126"/>
        <w:jc w:val="both"/>
      </w:pPr>
    </w:p>
    <w:p w14:paraId="718DAADC" w14:textId="7B7AC9B5" w:rsidR="00C6360C" w:rsidRPr="00B30B75" w:rsidRDefault="53B33503" w:rsidP="0C7C37E3">
      <w:pPr>
        <w:tabs>
          <w:tab w:val="left" w:pos="2126"/>
        </w:tabs>
        <w:ind w:left="2126" w:hanging="2126"/>
        <w:jc w:val="both"/>
        <w:rPr>
          <w:b/>
          <w:bCs/>
        </w:rPr>
      </w:pPr>
      <w:r w:rsidRPr="2FD64C30">
        <w:rPr>
          <w:b/>
          <w:bCs/>
        </w:rPr>
        <w:t>REPORT ON:</w:t>
      </w:r>
      <w:r w:rsidR="00C6360C">
        <w:tab/>
      </w:r>
      <w:r w:rsidRPr="2FD64C30">
        <w:rPr>
          <w:b/>
          <w:bCs/>
        </w:rPr>
        <w:t>DUNDEE HEALTH AND SOCIAL CARE PARTNERSH</w:t>
      </w:r>
      <w:r w:rsidR="60D92D68" w:rsidRPr="2FD64C30">
        <w:rPr>
          <w:b/>
          <w:bCs/>
        </w:rPr>
        <w:t>I</w:t>
      </w:r>
      <w:r w:rsidR="71084784" w:rsidRPr="2FD64C30">
        <w:rPr>
          <w:b/>
          <w:bCs/>
        </w:rPr>
        <w:t>P PERFORMANCE REPORT –</w:t>
      </w:r>
      <w:r w:rsidR="7BAA573B" w:rsidRPr="2FD64C30">
        <w:rPr>
          <w:b/>
          <w:bCs/>
        </w:rPr>
        <w:t xml:space="preserve"> </w:t>
      </w:r>
      <w:r w:rsidR="61BC82A5" w:rsidRPr="2FD64C30">
        <w:rPr>
          <w:b/>
          <w:bCs/>
        </w:rPr>
        <w:t>20</w:t>
      </w:r>
      <w:r w:rsidR="1B3F4E9C" w:rsidRPr="2FD64C30">
        <w:rPr>
          <w:b/>
          <w:bCs/>
        </w:rPr>
        <w:t>2</w:t>
      </w:r>
      <w:r w:rsidR="2FA1A6DB" w:rsidRPr="2FD64C30">
        <w:rPr>
          <w:b/>
          <w:bCs/>
        </w:rPr>
        <w:t xml:space="preserve">3-24 </w:t>
      </w:r>
      <w:r w:rsidR="61BC82A5" w:rsidRPr="2FD64C30">
        <w:rPr>
          <w:b/>
          <w:bCs/>
        </w:rPr>
        <w:t xml:space="preserve">QUARTER </w:t>
      </w:r>
      <w:r w:rsidR="59F895A3" w:rsidRPr="2FD64C30">
        <w:rPr>
          <w:b/>
          <w:bCs/>
        </w:rPr>
        <w:t>4</w:t>
      </w:r>
    </w:p>
    <w:p w14:paraId="62E0BCD2" w14:textId="77777777" w:rsidR="00C6360C" w:rsidRPr="00B30B75" w:rsidRDefault="00C6360C" w:rsidP="00C6360C">
      <w:pPr>
        <w:tabs>
          <w:tab w:val="left" w:pos="2126"/>
        </w:tabs>
        <w:ind w:left="2126" w:hanging="2126"/>
        <w:jc w:val="both"/>
      </w:pPr>
    </w:p>
    <w:p w14:paraId="62B8AAB7" w14:textId="77777777" w:rsidR="00C6360C" w:rsidRPr="00B30B75" w:rsidRDefault="00C6360C" w:rsidP="00C6360C">
      <w:pPr>
        <w:tabs>
          <w:tab w:val="left" w:pos="2126"/>
        </w:tabs>
        <w:ind w:left="2126" w:hanging="2126"/>
        <w:jc w:val="both"/>
        <w:rPr>
          <w:b/>
        </w:rPr>
      </w:pPr>
      <w:r w:rsidRPr="00B30B75">
        <w:rPr>
          <w:b/>
        </w:rPr>
        <w:t>REPORT BY:</w:t>
      </w:r>
      <w:r w:rsidRPr="00B30B75">
        <w:rPr>
          <w:b/>
        </w:rPr>
        <w:tab/>
        <w:t>CHIEF FINANCE OFFICER</w:t>
      </w:r>
    </w:p>
    <w:p w14:paraId="617A13EF" w14:textId="77777777" w:rsidR="00C6360C" w:rsidRPr="00B30B75" w:rsidRDefault="00C6360C" w:rsidP="00C6360C">
      <w:pPr>
        <w:tabs>
          <w:tab w:val="left" w:pos="2126"/>
        </w:tabs>
        <w:ind w:left="2126" w:hanging="2126"/>
        <w:jc w:val="both"/>
        <w:rPr>
          <w:b/>
        </w:rPr>
      </w:pPr>
    </w:p>
    <w:p w14:paraId="235B8F6B" w14:textId="46BA3E20" w:rsidR="00C6360C" w:rsidRPr="00B30B75" w:rsidRDefault="53B33503" w:rsidP="7E6B9E9D">
      <w:pPr>
        <w:tabs>
          <w:tab w:val="left" w:pos="2126"/>
        </w:tabs>
        <w:ind w:left="2126" w:hanging="2126"/>
        <w:jc w:val="both"/>
        <w:rPr>
          <w:b/>
          <w:bCs/>
        </w:rPr>
      </w:pPr>
      <w:r w:rsidRPr="2FD64C30">
        <w:rPr>
          <w:b/>
          <w:bCs/>
        </w:rPr>
        <w:t>REPORT NO:</w:t>
      </w:r>
      <w:r w:rsidR="00C6360C">
        <w:tab/>
      </w:r>
      <w:r w:rsidR="54E1DC26" w:rsidRPr="2FD64C30">
        <w:rPr>
          <w:b/>
          <w:bCs/>
        </w:rPr>
        <w:t>PAC</w:t>
      </w:r>
      <w:r w:rsidR="3932B43D" w:rsidRPr="2FD64C30">
        <w:rPr>
          <w:b/>
          <w:bCs/>
        </w:rPr>
        <w:t>27</w:t>
      </w:r>
      <w:r w:rsidR="54E1DC26" w:rsidRPr="2FD64C30">
        <w:rPr>
          <w:b/>
          <w:bCs/>
        </w:rPr>
        <w:t>-202</w:t>
      </w:r>
      <w:r w:rsidR="40F9736E" w:rsidRPr="2FD64C30">
        <w:rPr>
          <w:b/>
          <w:bCs/>
        </w:rPr>
        <w:t>4</w:t>
      </w:r>
    </w:p>
    <w:p w14:paraId="0A99BC50" w14:textId="77777777" w:rsidR="00C6360C" w:rsidRPr="00D03790" w:rsidRDefault="00C6360C" w:rsidP="00C6360C">
      <w:pPr>
        <w:tabs>
          <w:tab w:val="left" w:pos="2126"/>
        </w:tabs>
        <w:ind w:left="2126" w:hanging="2126"/>
        <w:jc w:val="both"/>
        <w:rPr>
          <w:highlight w:val="yellow"/>
        </w:rPr>
      </w:pPr>
    </w:p>
    <w:p w14:paraId="46DA04A1" w14:textId="77777777" w:rsidR="00C6360C" w:rsidRPr="00E5229E" w:rsidRDefault="00C6360C" w:rsidP="00C6360C">
      <w:pPr>
        <w:jc w:val="both"/>
        <w:rPr>
          <w:b/>
          <w:bCs/>
        </w:rPr>
      </w:pPr>
    </w:p>
    <w:p w14:paraId="34F07DD7" w14:textId="77777777" w:rsidR="00C6360C" w:rsidRPr="00E5229E" w:rsidRDefault="00C6360C" w:rsidP="00C6360C">
      <w:pPr>
        <w:ind w:left="720" w:hanging="720"/>
        <w:jc w:val="both"/>
        <w:rPr>
          <w:b/>
          <w:bCs/>
        </w:rPr>
      </w:pPr>
      <w:r w:rsidRPr="00E5229E">
        <w:rPr>
          <w:b/>
          <w:bCs/>
        </w:rPr>
        <w:t>1.0</w:t>
      </w:r>
      <w:r w:rsidRPr="00E5229E">
        <w:rPr>
          <w:b/>
          <w:bCs/>
        </w:rPr>
        <w:tab/>
        <w:t>PURPOSE OF REPORT</w:t>
      </w:r>
    </w:p>
    <w:p w14:paraId="0918636C" w14:textId="77777777" w:rsidR="00C6360C" w:rsidRPr="00E5229E" w:rsidRDefault="00C6360C" w:rsidP="00C6360C">
      <w:pPr>
        <w:jc w:val="both"/>
        <w:rPr>
          <w:color w:val="000000" w:themeColor="text1"/>
        </w:rPr>
      </w:pPr>
    </w:p>
    <w:p w14:paraId="07AAD033" w14:textId="3F84D8AB" w:rsidR="00C6360C" w:rsidRPr="00E5229E" w:rsidRDefault="00B804FF" w:rsidP="00B804FF">
      <w:pPr>
        <w:ind w:left="709" w:hanging="709"/>
        <w:jc w:val="both"/>
      </w:pPr>
      <w:r>
        <w:t>1.1</w:t>
      </w:r>
      <w:r>
        <w:tab/>
      </w:r>
      <w:r w:rsidR="009C5138">
        <w:t>The purpose of this</w:t>
      </w:r>
      <w:r w:rsidR="00C6360C">
        <w:t xml:space="preserve"> report is to update the Performance </w:t>
      </w:r>
      <w:r w:rsidR="00C07E9A">
        <w:t xml:space="preserve">and Audit Committee on </w:t>
      </w:r>
      <w:r w:rsidR="007477DD">
        <w:t>20</w:t>
      </w:r>
      <w:r w:rsidR="00AE432D">
        <w:t>2</w:t>
      </w:r>
      <w:r w:rsidR="00164786">
        <w:t>3-24</w:t>
      </w:r>
      <w:r>
        <w:t xml:space="preserve"> Quarter</w:t>
      </w:r>
      <w:r w:rsidR="4926341D">
        <w:t xml:space="preserve"> </w:t>
      </w:r>
      <w:r w:rsidR="00DF5B58">
        <w:t>4</w:t>
      </w:r>
      <w:r w:rsidR="009C5138">
        <w:t xml:space="preserve"> </w:t>
      </w:r>
      <w:r w:rsidR="00C6360C">
        <w:t xml:space="preserve">performance against the National Health and Wellbeing Indicators and </w:t>
      </w:r>
      <w:r w:rsidR="00B92629">
        <w:t>‘</w:t>
      </w:r>
      <w:r w:rsidR="00C6360C">
        <w:t>Measuring Performance Under Integration</w:t>
      </w:r>
      <w:r w:rsidR="00B92629">
        <w:t>’</w:t>
      </w:r>
      <w:r>
        <w:t xml:space="preserve"> </w:t>
      </w:r>
      <w:r w:rsidR="008E54AC">
        <w:t>indicators</w:t>
      </w:r>
      <w:r w:rsidR="007B3A6E">
        <w:t xml:space="preserve">. </w:t>
      </w:r>
      <w:r w:rsidR="00DB279E">
        <w:t>Data is also provided in relation to</w:t>
      </w:r>
      <w:r w:rsidR="00C74350">
        <w:t xml:space="preserve"> Social Care – Demand for Care at Home services.</w:t>
      </w:r>
    </w:p>
    <w:p w14:paraId="3F01DD37" w14:textId="77777777" w:rsidR="00C6360C" w:rsidRPr="00E5229E" w:rsidRDefault="00C6360C" w:rsidP="00C6360C">
      <w:pPr>
        <w:jc w:val="both"/>
      </w:pPr>
    </w:p>
    <w:p w14:paraId="459052A8" w14:textId="77777777" w:rsidR="00C6360C" w:rsidRPr="00E5229E" w:rsidRDefault="00C6360C" w:rsidP="00C6360C">
      <w:pPr>
        <w:ind w:left="720" w:hanging="720"/>
        <w:jc w:val="both"/>
        <w:rPr>
          <w:b/>
          <w:bCs/>
        </w:rPr>
      </w:pPr>
      <w:r w:rsidRPr="00E5229E">
        <w:rPr>
          <w:b/>
          <w:bCs/>
        </w:rPr>
        <w:t>2.0</w:t>
      </w:r>
      <w:r w:rsidRPr="00E5229E">
        <w:rPr>
          <w:b/>
          <w:bCs/>
        </w:rPr>
        <w:tab/>
        <w:t>RECOMMENDATIONS</w:t>
      </w:r>
    </w:p>
    <w:p w14:paraId="4CBFE267" w14:textId="77777777" w:rsidR="00C6360C" w:rsidRPr="00E5229E" w:rsidRDefault="00C6360C" w:rsidP="00C6360C">
      <w:pPr>
        <w:jc w:val="both"/>
      </w:pPr>
    </w:p>
    <w:p w14:paraId="785D6E6B" w14:textId="77777777" w:rsidR="00C6360C" w:rsidRPr="00E5229E" w:rsidRDefault="00C6360C" w:rsidP="00C6360C">
      <w:pPr>
        <w:ind w:firstLine="720"/>
        <w:jc w:val="both"/>
      </w:pPr>
      <w:r w:rsidRPr="00E5229E">
        <w:t>It is recommended that the Performance &amp; Audit Committee (PAC):</w:t>
      </w:r>
    </w:p>
    <w:p w14:paraId="3361F961" w14:textId="77777777" w:rsidR="00C6360C" w:rsidRPr="00E5229E" w:rsidRDefault="00C6360C" w:rsidP="00C326E8">
      <w:pPr>
        <w:jc w:val="both"/>
      </w:pPr>
    </w:p>
    <w:p w14:paraId="7E5F6B06" w14:textId="77777777" w:rsidR="000832B8" w:rsidRPr="00E5229E" w:rsidRDefault="00C6360C" w:rsidP="000832B8">
      <w:pPr>
        <w:ind w:left="720" w:hanging="720"/>
        <w:jc w:val="both"/>
      </w:pPr>
      <w:r w:rsidRPr="00E5229E">
        <w:t>2.1</w:t>
      </w:r>
      <w:r w:rsidRPr="00E5229E">
        <w:tab/>
      </w:r>
      <w:r w:rsidR="000832B8" w:rsidRPr="00E5229E">
        <w:t xml:space="preserve">Note the content of this </w:t>
      </w:r>
      <w:r w:rsidR="000832B8">
        <w:t xml:space="preserve">summary </w:t>
      </w:r>
      <w:r w:rsidR="000832B8" w:rsidRPr="00E5229E">
        <w:t>report.</w:t>
      </w:r>
    </w:p>
    <w:p w14:paraId="2D99C0F6" w14:textId="77777777" w:rsidR="000832B8" w:rsidRPr="00E5229E" w:rsidRDefault="000832B8" w:rsidP="000832B8">
      <w:pPr>
        <w:ind w:left="720" w:hanging="720"/>
        <w:jc w:val="both"/>
      </w:pPr>
    </w:p>
    <w:p w14:paraId="7E8C79E6" w14:textId="24884242" w:rsidR="000832B8" w:rsidRPr="00E5229E" w:rsidRDefault="000832B8" w:rsidP="000832B8">
      <w:pPr>
        <w:ind w:left="720" w:hanging="720"/>
        <w:jc w:val="both"/>
      </w:pPr>
      <w:r w:rsidRPr="00E5229E">
        <w:t>2.2</w:t>
      </w:r>
      <w:r w:rsidRPr="00E5229E">
        <w:tab/>
        <w:t>Note the performance of Dundee Health and Social Care Partnership, at both Dundee and Local Community Planning Partnership (LCPP) levels, against the National Health and Wellbeing Indicators as summarised in Appendix 1</w:t>
      </w:r>
      <w:r w:rsidR="00034F9F">
        <w:t xml:space="preserve"> (tables 1, 2 and 3)</w:t>
      </w:r>
      <w:r w:rsidRPr="00E5229E">
        <w:t>.</w:t>
      </w:r>
    </w:p>
    <w:p w14:paraId="6E2D7944" w14:textId="77777777" w:rsidR="000832B8" w:rsidRPr="00E5229E" w:rsidRDefault="000832B8" w:rsidP="000832B8">
      <w:pPr>
        <w:ind w:left="720" w:hanging="720"/>
        <w:jc w:val="both"/>
      </w:pPr>
    </w:p>
    <w:p w14:paraId="61922AB3" w14:textId="645A2007" w:rsidR="000832B8" w:rsidRDefault="000832B8" w:rsidP="000832B8">
      <w:pPr>
        <w:ind w:left="720" w:hanging="720"/>
        <w:jc w:val="both"/>
      </w:pPr>
      <w:r w:rsidRPr="00E5229E">
        <w:t>2.3</w:t>
      </w:r>
      <w:r w:rsidRPr="00E5229E">
        <w:tab/>
        <w:t>Note the performance of Dundee Health and Social Care Partnership against the ‘Measuring Performance Under Integration’ i</w:t>
      </w:r>
      <w:r>
        <w:t>ndicators</w:t>
      </w:r>
      <w:r w:rsidRPr="00E5229E">
        <w:t xml:space="preserve"> as summarised in Appendix 1 (table </w:t>
      </w:r>
      <w:r w:rsidR="00034F9F">
        <w:t>3</w:t>
      </w:r>
      <w:r w:rsidRPr="00E5229E">
        <w:t>).</w:t>
      </w:r>
    </w:p>
    <w:p w14:paraId="708B9571" w14:textId="77777777" w:rsidR="00A348BD" w:rsidRDefault="00A348BD" w:rsidP="000832B8">
      <w:pPr>
        <w:ind w:left="720" w:hanging="720"/>
        <w:jc w:val="both"/>
      </w:pPr>
    </w:p>
    <w:p w14:paraId="720ED32C" w14:textId="0264D52A" w:rsidR="00B15272" w:rsidRDefault="00B15272" w:rsidP="000832B8">
      <w:pPr>
        <w:ind w:left="720" w:hanging="720"/>
        <w:jc w:val="both"/>
      </w:pPr>
      <w:r>
        <w:t>2.4</w:t>
      </w:r>
      <w:r>
        <w:tab/>
        <w:t xml:space="preserve">Note the </w:t>
      </w:r>
      <w:r w:rsidR="00C74350">
        <w:t xml:space="preserve">number of people waiting for </w:t>
      </w:r>
      <w:r w:rsidR="004D5BFF">
        <w:t xml:space="preserve">a </w:t>
      </w:r>
      <w:r w:rsidR="00C74350">
        <w:t>social care assessment and care at home package and associated hours of care yet to be provided</w:t>
      </w:r>
      <w:r w:rsidR="00A348BD">
        <w:t xml:space="preserve"> in Appendix 2.</w:t>
      </w:r>
    </w:p>
    <w:p w14:paraId="3945F0E7" w14:textId="77777777" w:rsidR="000832B8" w:rsidRPr="00E5229E" w:rsidRDefault="000832B8" w:rsidP="000832B8">
      <w:pPr>
        <w:ind w:left="720" w:hanging="720"/>
        <w:jc w:val="both"/>
      </w:pPr>
    </w:p>
    <w:p w14:paraId="6221E53C" w14:textId="5EBC719D" w:rsidR="00C6360C" w:rsidRPr="00E5229E" w:rsidRDefault="00C6360C" w:rsidP="000832B8">
      <w:pPr>
        <w:ind w:left="720" w:hanging="720"/>
        <w:jc w:val="both"/>
        <w:rPr>
          <w:b/>
          <w:bCs/>
        </w:rPr>
      </w:pPr>
      <w:r w:rsidRPr="00E5229E">
        <w:rPr>
          <w:b/>
          <w:bCs/>
        </w:rPr>
        <w:t>3.0</w:t>
      </w:r>
      <w:r w:rsidRPr="00E5229E">
        <w:rPr>
          <w:b/>
          <w:bCs/>
        </w:rPr>
        <w:tab/>
        <w:t>FINANCIAL IMPLICATIONS</w:t>
      </w:r>
    </w:p>
    <w:p w14:paraId="49641A52" w14:textId="77777777" w:rsidR="00C6360C" w:rsidRPr="00E5229E" w:rsidRDefault="00C6360C" w:rsidP="00C6360C">
      <w:pPr>
        <w:ind w:left="720" w:hanging="720"/>
        <w:jc w:val="both"/>
        <w:rPr>
          <w:b/>
          <w:bCs/>
          <w:color w:val="000000" w:themeColor="text1"/>
        </w:rPr>
      </w:pPr>
    </w:p>
    <w:p w14:paraId="2052885E" w14:textId="77777777" w:rsidR="00C6360C" w:rsidRPr="00E5229E" w:rsidRDefault="00B804FF" w:rsidP="00B804FF">
      <w:pPr>
        <w:jc w:val="both"/>
      </w:pPr>
      <w:r w:rsidRPr="00E5229E">
        <w:t>3.1</w:t>
      </w:r>
      <w:r w:rsidRPr="00E5229E">
        <w:tab/>
        <w:t>None.</w:t>
      </w:r>
    </w:p>
    <w:p w14:paraId="19464A0E" w14:textId="77777777" w:rsidR="00C6360C" w:rsidRPr="00E5229E" w:rsidRDefault="00C6360C" w:rsidP="00C6360C">
      <w:pPr>
        <w:jc w:val="both"/>
        <w:rPr>
          <w:b/>
          <w:bCs/>
        </w:rPr>
      </w:pPr>
    </w:p>
    <w:p w14:paraId="3893AEA3" w14:textId="1A7BD5DD" w:rsidR="00C6360C" w:rsidRPr="00E5229E" w:rsidRDefault="00C6360C" w:rsidP="00C6360C">
      <w:pPr>
        <w:jc w:val="both"/>
        <w:rPr>
          <w:b/>
        </w:rPr>
      </w:pPr>
      <w:r w:rsidRPr="00E5229E">
        <w:rPr>
          <w:b/>
          <w:bCs/>
        </w:rPr>
        <w:t>4.0</w:t>
      </w:r>
      <w:r w:rsidRPr="00E5229E">
        <w:rPr>
          <w:b/>
          <w:bCs/>
        </w:rPr>
        <w:tab/>
      </w:r>
      <w:r w:rsidR="00746270">
        <w:rPr>
          <w:b/>
        </w:rPr>
        <w:t>BACKGROUND INFORMATION</w:t>
      </w:r>
    </w:p>
    <w:p w14:paraId="2D83F95D" w14:textId="6BC8C391" w:rsidR="00F578B6" w:rsidRDefault="00F578B6" w:rsidP="00844850">
      <w:pPr>
        <w:ind w:left="720" w:hanging="720"/>
        <w:jc w:val="both"/>
        <w:rPr>
          <w:rFonts w:cs="Arial"/>
          <w:bCs/>
          <w:lang w:eastAsia="en-GB"/>
        </w:rPr>
      </w:pPr>
    </w:p>
    <w:p w14:paraId="16BFC6A1" w14:textId="12786C23" w:rsidR="006D04EB" w:rsidRDefault="00746270" w:rsidP="00C03FF2">
      <w:pPr>
        <w:ind w:left="720" w:hanging="720"/>
        <w:jc w:val="both"/>
      </w:pPr>
      <w:r w:rsidRPr="5FA1FECD">
        <w:rPr>
          <w:rFonts w:cs="Arial"/>
          <w:lang w:eastAsia="en-GB"/>
        </w:rPr>
        <w:t>4.</w:t>
      </w:r>
      <w:r w:rsidR="0091398E" w:rsidRPr="5FA1FECD">
        <w:rPr>
          <w:rFonts w:cs="Arial"/>
          <w:lang w:eastAsia="en-GB"/>
        </w:rPr>
        <w:t>1</w:t>
      </w:r>
      <w:r>
        <w:tab/>
      </w:r>
      <w:r w:rsidR="006D04EB">
        <w:t xml:space="preserve">The Quarterly Performance Report analyses performance against the National Health and Wellbeing Indicators. 5 of the 23 National Health and Wellbeing Indicators are monitored quarterly (emergency admissions, emergency bed days, readmissions, falls admissions and delayed discharge bed days lost). The quarterly performance report also summarises performance against indicators in the Measuring Performance Under Integration (MPUI) </w:t>
      </w:r>
      <w:r w:rsidR="006D04EB" w:rsidRPr="5FA1FECD">
        <w:rPr>
          <w:rFonts w:cs="Arial"/>
        </w:rPr>
        <w:t xml:space="preserve">suite of indicators </w:t>
      </w:r>
      <w:r w:rsidR="006D04EB">
        <w:t xml:space="preserve">for four out of six high level service delivery areas – emergency admissions, emergency bed days, accident and emergency and delayed discharges, end of life and balance of care. Further information regarding these indicators and the methodology used to report these indicators can be found in Appendix 3.  </w:t>
      </w:r>
      <w:r>
        <w:tab/>
      </w:r>
    </w:p>
    <w:p w14:paraId="2E200CE2" w14:textId="77777777" w:rsidR="006D04EB" w:rsidRDefault="006D04EB" w:rsidP="00C03FF2">
      <w:pPr>
        <w:ind w:left="720" w:hanging="720"/>
        <w:jc w:val="both"/>
      </w:pPr>
    </w:p>
    <w:p w14:paraId="187ABEE6" w14:textId="23C1887A" w:rsidR="006D04EB" w:rsidRPr="006D04EB" w:rsidRDefault="006D04EB" w:rsidP="006D04EB">
      <w:pPr>
        <w:ind w:left="720" w:hanging="720"/>
        <w:jc w:val="both"/>
      </w:pPr>
      <w:r>
        <w:t>4.2</w:t>
      </w:r>
      <w:r>
        <w:tab/>
      </w:r>
      <w:r w:rsidR="005C0A26">
        <w:t>The Public Bodies</w:t>
      </w:r>
      <w:r w:rsidR="00F75261">
        <w:t xml:space="preserve"> (Joint Working) (Scotland)</w:t>
      </w:r>
      <w:r w:rsidR="005C0A26">
        <w:t xml:space="preserve"> Act </w:t>
      </w:r>
      <w:r w:rsidR="00F75261">
        <w:t xml:space="preserve">2014 and associated regulations and guidance </w:t>
      </w:r>
      <w:r w:rsidR="005C0A26">
        <w:t xml:space="preserve">prescribes </w:t>
      </w:r>
      <w:r w:rsidR="00F75261">
        <w:t xml:space="preserve">that </w:t>
      </w:r>
      <w:r w:rsidR="005C0A26">
        <w:t>Partnership</w:t>
      </w:r>
      <w:r w:rsidR="00F75261">
        <w:t>s</w:t>
      </w:r>
      <w:r w:rsidR="005C0A26">
        <w:t xml:space="preserve"> </w:t>
      </w:r>
      <w:r w:rsidR="00F75261">
        <w:t>must</w:t>
      </w:r>
      <w:r w:rsidR="005C0A26">
        <w:t xml:space="preserve"> compare </w:t>
      </w:r>
      <w:r w:rsidR="00F75261">
        <w:t xml:space="preserve">performance </w:t>
      </w:r>
      <w:r w:rsidR="005C0A26">
        <w:t>information between the</w:t>
      </w:r>
      <w:r w:rsidR="00F75261">
        <w:t xml:space="preserve"> current</w:t>
      </w:r>
      <w:r w:rsidR="005C0A26">
        <w:t xml:space="preserve"> reporting year and the </w:t>
      </w:r>
      <w:r w:rsidR="23A81F38">
        <w:t>preceding</w:t>
      </w:r>
      <w:r w:rsidR="005C0A26">
        <w:t xml:space="preserve"> </w:t>
      </w:r>
      <w:r w:rsidR="00F75261">
        <w:t>five</w:t>
      </w:r>
      <w:r w:rsidR="005C0A26">
        <w:t xml:space="preserve"> reporting years.  From Q</w:t>
      </w:r>
      <w:r w:rsidR="00E04E26">
        <w:t>1</w:t>
      </w:r>
      <w:r w:rsidR="005C0A26">
        <w:t xml:space="preserve"> 2023</w:t>
      </w:r>
      <w:r w:rsidR="00121C03">
        <w:t>-</w:t>
      </w:r>
      <w:r w:rsidR="005C0A26">
        <w:t>24, quarterly performance reports use the 2018/19 baseline year</w:t>
      </w:r>
      <w:r w:rsidR="00F75261">
        <w:t xml:space="preserve"> for all indicators</w:t>
      </w:r>
      <w:r w:rsidR="005C0A26">
        <w:t>.</w:t>
      </w:r>
    </w:p>
    <w:p w14:paraId="0667E5BA" w14:textId="5AE4B25D" w:rsidR="0091398E" w:rsidRDefault="0091398E" w:rsidP="00C03FF2">
      <w:pPr>
        <w:ind w:left="720" w:hanging="720"/>
        <w:jc w:val="both"/>
        <w:rPr>
          <w:rFonts w:cs="Arial"/>
        </w:rPr>
      </w:pPr>
    </w:p>
    <w:p w14:paraId="028DA137" w14:textId="18F20C4E" w:rsidR="006D1E71" w:rsidRPr="002E267C" w:rsidRDefault="00B64214" w:rsidP="6CB3F99A">
      <w:pPr>
        <w:ind w:left="720" w:hanging="720"/>
        <w:jc w:val="both"/>
        <w:rPr>
          <w:b/>
          <w:bCs/>
        </w:rPr>
      </w:pPr>
      <w:r w:rsidRPr="6CB3F99A">
        <w:rPr>
          <w:b/>
          <w:bCs/>
        </w:rPr>
        <w:t>5</w:t>
      </w:r>
      <w:r w:rsidR="006D1E71" w:rsidRPr="6CB3F99A">
        <w:rPr>
          <w:b/>
          <w:bCs/>
        </w:rPr>
        <w:t>.0</w:t>
      </w:r>
      <w:r>
        <w:tab/>
      </w:r>
      <w:r w:rsidR="006D1E71" w:rsidRPr="6CB3F99A">
        <w:rPr>
          <w:b/>
          <w:bCs/>
        </w:rPr>
        <w:t>QUARTER</w:t>
      </w:r>
      <w:r w:rsidR="00D56950" w:rsidRPr="6CB3F99A">
        <w:rPr>
          <w:b/>
          <w:bCs/>
        </w:rPr>
        <w:t xml:space="preserve"> </w:t>
      </w:r>
      <w:r w:rsidR="00D90CDE">
        <w:rPr>
          <w:b/>
          <w:bCs/>
        </w:rPr>
        <w:t>4</w:t>
      </w:r>
      <w:r w:rsidR="006D1E71" w:rsidRPr="2A83E529">
        <w:rPr>
          <w:b/>
          <w:bCs/>
        </w:rPr>
        <w:t xml:space="preserve"> </w:t>
      </w:r>
      <w:r w:rsidR="006D1E71" w:rsidRPr="6CB3F99A">
        <w:rPr>
          <w:b/>
          <w:bCs/>
        </w:rPr>
        <w:t xml:space="preserve">PERFORMANCE </w:t>
      </w:r>
      <w:r w:rsidR="002E6A11" w:rsidRPr="6CB3F99A">
        <w:rPr>
          <w:b/>
          <w:bCs/>
        </w:rPr>
        <w:t>202</w:t>
      </w:r>
      <w:r w:rsidR="00D56950" w:rsidRPr="6CB3F99A">
        <w:rPr>
          <w:b/>
          <w:bCs/>
        </w:rPr>
        <w:t>3-24</w:t>
      </w:r>
      <w:r w:rsidR="00A07C7B" w:rsidRPr="6CB3F99A">
        <w:rPr>
          <w:b/>
          <w:bCs/>
        </w:rPr>
        <w:t xml:space="preserve"> – KEY ANALYTICAL MESSAGES</w:t>
      </w:r>
    </w:p>
    <w:p w14:paraId="0E6E640B" w14:textId="11040F72" w:rsidR="006D1E71" w:rsidRDefault="006D1E71" w:rsidP="006D1E71">
      <w:pPr>
        <w:pStyle w:val="ListParagraph"/>
        <w:ind w:left="0"/>
        <w:jc w:val="both"/>
      </w:pPr>
    </w:p>
    <w:p w14:paraId="63D154EA" w14:textId="508A0A40" w:rsidR="00B432C9" w:rsidRPr="002E267C" w:rsidRDefault="00B432C9" w:rsidP="006D1E71">
      <w:pPr>
        <w:pStyle w:val="ListParagraph"/>
        <w:ind w:left="0"/>
        <w:jc w:val="both"/>
      </w:pPr>
      <w:r>
        <w:t>5.1</w:t>
      </w:r>
      <w:r>
        <w:tab/>
        <w:t xml:space="preserve">Key analytical messages for the Quarter </w:t>
      </w:r>
      <w:r w:rsidR="00D90CDE">
        <w:t>4</w:t>
      </w:r>
      <w:r>
        <w:t xml:space="preserve"> 202</w:t>
      </w:r>
      <w:r w:rsidR="005F0FF4">
        <w:t>3-</w:t>
      </w:r>
      <w:r w:rsidR="00D54DB4">
        <w:t xml:space="preserve">24 </w:t>
      </w:r>
      <w:r>
        <w:t>period are:</w:t>
      </w:r>
    </w:p>
    <w:p w14:paraId="04253FF1" w14:textId="77777777" w:rsidR="00A07C7B" w:rsidRDefault="00A07C7B" w:rsidP="00A07C7B">
      <w:pPr>
        <w:pStyle w:val="ListParagraph"/>
        <w:ind w:left="1440"/>
        <w:jc w:val="both"/>
      </w:pPr>
    </w:p>
    <w:p w14:paraId="7713BC2D" w14:textId="77777777" w:rsidR="00E333D1" w:rsidRPr="00AA4BB4" w:rsidRDefault="00E333D1" w:rsidP="00E333D1">
      <w:pPr>
        <w:pStyle w:val="ListParagraph"/>
        <w:numPr>
          <w:ilvl w:val="0"/>
          <w:numId w:val="2"/>
        </w:numPr>
        <w:jc w:val="both"/>
      </w:pPr>
      <w:r w:rsidRPr="00AA4BB4">
        <w:t>Significant variation by Local Community Planning Partnership (LCPP) is still apparent, with poorest performance for many of the National Indicators in the most deprived LCPPs.</w:t>
      </w:r>
    </w:p>
    <w:p w14:paraId="4B2709CD" w14:textId="77777777" w:rsidR="00E333D1" w:rsidRPr="00D90CDE" w:rsidRDefault="00E333D1" w:rsidP="00E333D1">
      <w:pPr>
        <w:pStyle w:val="ListParagraph"/>
        <w:rPr>
          <w:i/>
          <w:iCs/>
        </w:rPr>
      </w:pPr>
    </w:p>
    <w:p w14:paraId="230DF874" w14:textId="77777777" w:rsidR="00207807" w:rsidRDefault="00E333D1">
      <w:pPr>
        <w:pStyle w:val="ListParagraph"/>
        <w:numPr>
          <w:ilvl w:val="0"/>
          <w:numId w:val="2"/>
        </w:numPr>
        <w:jc w:val="both"/>
        <w:rPr>
          <w:i/>
          <w:iCs/>
        </w:rPr>
      </w:pPr>
      <w:r w:rsidRPr="00912FB1">
        <w:t xml:space="preserve">Performance </w:t>
      </w:r>
      <w:r w:rsidR="00F75261" w:rsidRPr="00912FB1">
        <w:t xml:space="preserve">is </w:t>
      </w:r>
      <w:r w:rsidRPr="00912FB1">
        <w:t>poorer than the 201</w:t>
      </w:r>
      <w:r w:rsidR="00164786" w:rsidRPr="00912FB1">
        <w:t>8</w:t>
      </w:r>
      <w:r w:rsidR="0082107F" w:rsidRPr="00912FB1">
        <w:t>-</w:t>
      </w:r>
      <w:r w:rsidR="00164786" w:rsidRPr="00912FB1">
        <w:t>19</w:t>
      </w:r>
      <w:r w:rsidRPr="00912FB1">
        <w:t xml:space="preserve"> baseline for rate of emergency admissions</w:t>
      </w:r>
      <w:r w:rsidR="008B1085" w:rsidRPr="00912FB1">
        <w:t xml:space="preserve"> </w:t>
      </w:r>
      <w:r w:rsidRPr="00912FB1">
        <w:t xml:space="preserve">18+, </w:t>
      </w:r>
      <w:r w:rsidR="00535EA2" w:rsidRPr="00912FB1">
        <w:t xml:space="preserve">rate of </w:t>
      </w:r>
      <w:r w:rsidRPr="00912FB1">
        <w:t>hospital admissions due to a fall 65</w:t>
      </w:r>
      <w:r w:rsidR="004A20C9" w:rsidRPr="00912FB1">
        <w:t>+, emergency</w:t>
      </w:r>
      <w:r w:rsidRPr="00912FB1">
        <w:t xml:space="preserve"> admission numbers from A+E 18+, emergency admissions as a rate of all A+E attendances 18+, </w:t>
      </w:r>
      <w:proofErr w:type="gramStart"/>
      <w:r w:rsidR="00F1288B" w:rsidRPr="00912FB1">
        <w:t>28 day</w:t>
      </w:r>
      <w:proofErr w:type="gramEnd"/>
      <w:r w:rsidR="00F1288B" w:rsidRPr="00912FB1">
        <w:t xml:space="preserve"> readmissions rate, </w:t>
      </w:r>
      <w:r w:rsidR="00F75261" w:rsidRPr="00912FB1">
        <w:t>and</w:t>
      </w:r>
      <w:r w:rsidRPr="00912FB1">
        <w:t xml:space="preserve"> </w:t>
      </w:r>
      <w:r w:rsidR="00535EA2" w:rsidRPr="00912FB1">
        <w:t xml:space="preserve">rate of </w:t>
      </w:r>
      <w:r w:rsidRPr="00912FB1">
        <w:t>standard bed days lost to delayed discharges 75</w:t>
      </w:r>
      <w:r w:rsidRPr="00D90CDE">
        <w:rPr>
          <w:i/>
          <w:iCs/>
        </w:rPr>
        <w:t>+.</w:t>
      </w:r>
      <w:r w:rsidR="008B54C1">
        <w:rPr>
          <w:i/>
          <w:iCs/>
        </w:rPr>
        <w:t xml:space="preserve"> </w:t>
      </w:r>
    </w:p>
    <w:p w14:paraId="6A014CC9" w14:textId="77777777" w:rsidR="00207807" w:rsidRDefault="00207807" w:rsidP="00207807">
      <w:pPr>
        <w:pStyle w:val="ListParagraph"/>
      </w:pPr>
    </w:p>
    <w:p w14:paraId="4F2E763E" w14:textId="724A2F85" w:rsidR="004F4480" w:rsidRPr="00D90CDE" w:rsidRDefault="00B959BA">
      <w:pPr>
        <w:pStyle w:val="ListParagraph"/>
        <w:numPr>
          <w:ilvl w:val="0"/>
          <w:numId w:val="2"/>
        </w:numPr>
        <w:jc w:val="both"/>
        <w:rPr>
          <w:i/>
          <w:iCs/>
        </w:rPr>
      </w:pPr>
      <w:r w:rsidRPr="00B959BA">
        <w:t>The r</w:t>
      </w:r>
      <w:r w:rsidR="00535EA2" w:rsidRPr="00B959BA">
        <w:t xml:space="preserve">ate of </w:t>
      </w:r>
      <w:r w:rsidR="3606D760" w:rsidRPr="00B959BA">
        <w:t>complex bed days lost to delayed discharges 75+</w:t>
      </w:r>
      <w:r w:rsidR="6137349B" w:rsidRPr="00B959BA">
        <w:t xml:space="preserve"> was </w:t>
      </w:r>
      <w:r w:rsidR="0064216F" w:rsidRPr="00775D0F">
        <w:t>25</w:t>
      </w:r>
      <w:r w:rsidR="00425B58" w:rsidRPr="00775D0F">
        <w:t>%</w:t>
      </w:r>
      <w:r w:rsidR="00425B58">
        <w:t xml:space="preserve"> </w:t>
      </w:r>
      <w:r w:rsidR="00535EA2" w:rsidRPr="00B959BA">
        <w:t>lower</w:t>
      </w:r>
      <w:r w:rsidR="6137349B" w:rsidRPr="00B959BA">
        <w:t xml:space="preserve"> than the 20</w:t>
      </w:r>
      <w:r w:rsidR="00535EA2" w:rsidRPr="00B959BA">
        <w:t>1</w:t>
      </w:r>
      <w:r w:rsidR="6137349B" w:rsidRPr="00B959BA">
        <w:t>8-19 baseline</w:t>
      </w:r>
      <w:r w:rsidR="00535EA2" w:rsidRPr="00B959BA">
        <w:t xml:space="preserve"> which is an improvement</w:t>
      </w:r>
      <w:r w:rsidR="004F401D">
        <w:t>.</w:t>
      </w:r>
    </w:p>
    <w:p w14:paraId="089B9697" w14:textId="77777777" w:rsidR="004F401D" w:rsidRPr="006A29AE" w:rsidRDefault="004F401D" w:rsidP="003B37F8">
      <w:pPr>
        <w:jc w:val="both"/>
        <w:rPr>
          <w:i/>
          <w:iCs/>
        </w:rPr>
      </w:pPr>
    </w:p>
    <w:p w14:paraId="41968D66" w14:textId="4C915818" w:rsidR="00E333D1" w:rsidRPr="00A1540B" w:rsidRDefault="008D780A" w:rsidP="000471BA">
      <w:pPr>
        <w:pStyle w:val="ListParagraph"/>
        <w:numPr>
          <w:ilvl w:val="0"/>
          <w:numId w:val="2"/>
        </w:numPr>
        <w:jc w:val="both"/>
      </w:pPr>
      <w:r w:rsidRPr="00A1540B">
        <w:t>Rate of e</w:t>
      </w:r>
      <w:r w:rsidR="004A7827" w:rsidRPr="00A1540B">
        <w:t xml:space="preserve">mergency </w:t>
      </w:r>
      <w:r w:rsidRPr="00A1540B">
        <w:t>b</w:t>
      </w:r>
      <w:r w:rsidR="004F4480" w:rsidRPr="00A1540B">
        <w:t>ed day</w:t>
      </w:r>
      <w:r w:rsidRPr="00A1540B">
        <w:t>s</w:t>
      </w:r>
      <w:r w:rsidR="004F4480" w:rsidRPr="00A1540B">
        <w:t xml:space="preserve"> per 100,000 18+ population </w:t>
      </w:r>
      <w:r w:rsidR="008674A9" w:rsidRPr="00A1540B">
        <w:t>inc</w:t>
      </w:r>
      <w:r w:rsidR="00651861" w:rsidRPr="00A1540B">
        <w:t xml:space="preserve">reased </w:t>
      </w:r>
      <w:r w:rsidR="004F4480" w:rsidRPr="00A1540B">
        <w:t xml:space="preserve">by </w:t>
      </w:r>
      <w:r w:rsidR="000471BA" w:rsidRPr="00A1540B">
        <w:t>0.9</w:t>
      </w:r>
      <w:r w:rsidR="004F4480" w:rsidRPr="00A1540B">
        <w:t>% when compared wi</w:t>
      </w:r>
      <w:r w:rsidR="0082107F" w:rsidRPr="00A1540B">
        <w:t>t</w:t>
      </w:r>
      <w:r w:rsidR="004F4480" w:rsidRPr="00A1540B">
        <w:t>h the 2018</w:t>
      </w:r>
      <w:r w:rsidR="0082107F" w:rsidRPr="00A1540B">
        <w:t>-</w:t>
      </w:r>
      <w:r w:rsidR="004F4480" w:rsidRPr="00A1540B">
        <w:t xml:space="preserve">19 baseline.  </w:t>
      </w:r>
      <w:r w:rsidR="00260B6A" w:rsidRPr="00A1540B">
        <w:t>4</w:t>
      </w:r>
      <w:r w:rsidR="63207FEE" w:rsidRPr="00A1540B">
        <w:t xml:space="preserve"> </w:t>
      </w:r>
      <w:r w:rsidR="002E01C9" w:rsidRPr="00A1540B">
        <w:t>LCPPs saw</w:t>
      </w:r>
      <w:r w:rsidR="004F4480" w:rsidRPr="00A1540B">
        <w:t xml:space="preserve"> a decrease in rate of emergency </w:t>
      </w:r>
      <w:r w:rsidR="00F1288B" w:rsidRPr="00A1540B">
        <w:t>bed days</w:t>
      </w:r>
      <w:r w:rsidR="004F4480" w:rsidRPr="00A1540B">
        <w:t xml:space="preserve"> (</w:t>
      </w:r>
      <w:proofErr w:type="spellStart"/>
      <w:r w:rsidR="001F77E6" w:rsidRPr="00A1540B">
        <w:t>Coldside</w:t>
      </w:r>
      <w:proofErr w:type="spellEnd"/>
      <w:r w:rsidR="00F1288B" w:rsidRPr="00A1540B">
        <w:t xml:space="preserve"> </w:t>
      </w:r>
      <w:r w:rsidR="39020536" w:rsidRPr="00A1540B">
        <w:t>–</w:t>
      </w:r>
      <w:r w:rsidR="007F05F1" w:rsidRPr="00A1540B">
        <w:t>1.6</w:t>
      </w:r>
      <w:r w:rsidR="39020536" w:rsidRPr="00A1540B">
        <w:t xml:space="preserve">%, </w:t>
      </w:r>
      <w:r w:rsidR="001F77E6" w:rsidRPr="00A1540B">
        <w:t>East End</w:t>
      </w:r>
      <w:r w:rsidR="39020536" w:rsidRPr="00A1540B">
        <w:t xml:space="preserve"> –</w:t>
      </w:r>
      <w:r w:rsidR="00007764" w:rsidRPr="00A1540B">
        <w:t>3.2</w:t>
      </w:r>
      <w:r w:rsidR="39020536" w:rsidRPr="00A1540B">
        <w:t>%</w:t>
      </w:r>
      <w:r w:rsidR="001F77E6" w:rsidRPr="00A1540B">
        <w:t xml:space="preserve">, </w:t>
      </w:r>
      <w:proofErr w:type="spellStart"/>
      <w:r w:rsidR="00192C4A" w:rsidRPr="00A1540B">
        <w:t>Lochee</w:t>
      </w:r>
      <w:proofErr w:type="spellEnd"/>
      <w:r w:rsidR="001F77E6" w:rsidRPr="00A1540B">
        <w:t xml:space="preserve"> -</w:t>
      </w:r>
      <w:r w:rsidR="00EF455E" w:rsidRPr="00A1540B">
        <w:t>9</w:t>
      </w:r>
      <w:r w:rsidR="001F77E6" w:rsidRPr="00A1540B">
        <w:t>%, and</w:t>
      </w:r>
      <w:r w:rsidR="39020536" w:rsidRPr="00A1540B">
        <w:t xml:space="preserve"> </w:t>
      </w:r>
      <w:proofErr w:type="spellStart"/>
      <w:r w:rsidR="00A9590B" w:rsidRPr="00A1540B">
        <w:t>Maryfield</w:t>
      </w:r>
      <w:proofErr w:type="spellEnd"/>
      <w:r w:rsidR="39020536" w:rsidRPr="00A1540B">
        <w:t xml:space="preserve"> –</w:t>
      </w:r>
      <w:r w:rsidR="00554AFE" w:rsidRPr="00A1540B">
        <w:t>13.4</w:t>
      </w:r>
      <w:r w:rsidR="39020536" w:rsidRPr="00A1540B">
        <w:t>%</w:t>
      </w:r>
      <w:r w:rsidR="004F4480" w:rsidRPr="00A1540B">
        <w:t>)</w:t>
      </w:r>
      <w:r w:rsidR="00F1288B" w:rsidRPr="00A1540B">
        <w:t>.</w:t>
      </w:r>
    </w:p>
    <w:p w14:paraId="7C846F33" w14:textId="485BA1D3" w:rsidR="00F1288B" w:rsidRPr="00D90CDE" w:rsidRDefault="00F1288B" w:rsidP="00F1288B">
      <w:pPr>
        <w:pStyle w:val="ListParagraph"/>
        <w:rPr>
          <w:i/>
          <w:iCs/>
        </w:rPr>
      </w:pPr>
    </w:p>
    <w:p w14:paraId="2952EF88" w14:textId="25CA82F8" w:rsidR="00535EA2" w:rsidRPr="00D90CDE" w:rsidRDefault="00535EA2" w:rsidP="00535EA2">
      <w:pPr>
        <w:pStyle w:val="ListParagraph"/>
        <w:numPr>
          <w:ilvl w:val="0"/>
          <w:numId w:val="2"/>
        </w:numPr>
        <w:jc w:val="both"/>
        <w:rPr>
          <w:i/>
          <w:iCs/>
        </w:rPr>
      </w:pPr>
      <w:r w:rsidRPr="007965B9">
        <w:t xml:space="preserve">Rate of emergency admissions per 100,000 18+ population increased by </w:t>
      </w:r>
      <w:r w:rsidR="007965B9" w:rsidRPr="007965B9">
        <w:t>14</w:t>
      </w:r>
      <w:r w:rsidRPr="007965B9">
        <w:t>% compared with the 2018-19 baseline and there was in increase across every LCPP.</w:t>
      </w:r>
      <w:r w:rsidR="005A1206">
        <w:t xml:space="preserve"> </w:t>
      </w:r>
      <w:r w:rsidRPr="007965B9">
        <w:t>This is deterioration in performance</w:t>
      </w:r>
      <w:r w:rsidRPr="00D90CDE">
        <w:rPr>
          <w:i/>
          <w:iCs/>
        </w:rPr>
        <w:t>.</w:t>
      </w:r>
    </w:p>
    <w:p w14:paraId="7E5BF856" w14:textId="77777777" w:rsidR="00535EA2" w:rsidRPr="00D90CDE" w:rsidRDefault="00535EA2" w:rsidP="00F1288B">
      <w:pPr>
        <w:pStyle w:val="ListParagraph"/>
        <w:rPr>
          <w:i/>
          <w:iCs/>
        </w:rPr>
      </w:pPr>
    </w:p>
    <w:p w14:paraId="21162D2E" w14:textId="24F5F98C" w:rsidR="4DDDEC1C" w:rsidRPr="005A4AD4" w:rsidRDefault="00F1288B" w:rsidP="005A4AD4">
      <w:pPr>
        <w:pStyle w:val="ListParagraph"/>
        <w:numPr>
          <w:ilvl w:val="0"/>
          <w:numId w:val="2"/>
        </w:numPr>
        <w:jc w:val="both"/>
        <w:rPr>
          <w:i/>
          <w:iCs/>
        </w:rPr>
      </w:pPr>
      <w:r w:rsidRPr="001B06CE">
        <w:t xml:space="preserve">Rate of emergency readmission within 28 days of any admission increased by </w:t>
      </w:r>
      <w:r w:rsidR="00530EF3" w:rsidRPr="001B06CE">
        <w:t>9</w:t>
      </w:r>
      <w:r w:rsidRPr="001B06CE">
        <w:t xml:space="preserve">% between 2018-19 baseline and 2023-24. </w:t>
      </w:r>
      <w:r w:rsidR="005A4AD4" w:rsidRPr="007965B9">
        <w:t>This is deterioration in performance</w:t>
      </w:r>
      <w:r w:rsidR="005A4AD4" w:rsidRPr="00D90CDE">
        <w:rPr>
          <w:i/>
          <w:iCs/>
        </w:rPr>
        <w:t>.</w:t>
      </w:r>
      <w:r w:rsidRPr="001B06CE">
        <w:t xml:space="preserve"> There was </w:t>
      </w:r>
      <w:r w:rsidR="10CBC73F" w:rsidRPr="001B06CE">
        <w:t>de</w:t>
      </w:r>
      <w:r w:rsidRPr="001B06CE">
        <w:t>crease</w:t>
      </w:r>
      <w:r w:rsidR="005A4AD4">
        <w:t xml:space="preserve"> (improvement)</w:t>
      </w:r>
      <w:r w:rsidRPr="001B06CE">
        <w:t xml:space="preserve"> in </w:t>
      </w:r>
      <w:r w:rsidR="5C5A0FCF" w:rsidRPr="001B06CE">
        <w:t>1</w:t>
      </w:r>
      <w:r w:rsidRPr="001B06CE">
        <w:t xml:space="preserve"> LCPP (</w:t>
      </w:r>
      <w:r w:rsidR="5CBF332A" w:rsidRPr="001B06CE">
        <w:t>East End</w:t>
      </w:r>
      <w:r w:rsidRPr="001B06CE">
        <w:t xml:space="preserve"> by </w:t>
      </w:r>
      <w:r w:rsidR="0035338D" w:rsidRPr="001B06CE">
        <w:t>6</w:t>
      </w:r>
      <w:r w:rsidRPr="001B06CE">
        <w:t>%)</w:t>
      </w:r>
      <w:r w:rsidR="005A7E18" w:rsidRPr="001B06CE">
        <w:t>.</w:t>
      </w:r>
    </w:p>
    <w:p w14:paraId="1679ED96" w14:textId="77777777" w:rsidR="001B06CE" w:rsidRPr="00DB5D79" w:rsidRDefault="001B06CE" w:rsidP="00DB5D79">
      <w:pPr>
        <w:jc w:val="both"/>
        <w:rPr>
          <w:i/>
          <w:iCs/>
        </w:rPr>
      </w:pPr>
    </w:p>
    <w:p w14:paraId="4A1ACA91" w14:textId="52D7DD35" w:rsidR="00F1288B" w:rsidRPr="005A4AD4" w:rsidRDefault="1F7D20DC" w:rsidP="005A4AD4">
      <w:pPr>
        <w:pStyle w:val="ListParagraph"/>
        <w:numPr>
          <w:ilvl w:val="0"/>
          <w:numId w:val="2"/>
        </w:numPr>
        <w:jc w:val="both"/>
        <w:rPr>
          <w:i/>
          <w:iCs/>
        </w:rPr>
      </w:pPr>
      <w:r w:rsidRPr="00ED697D">
        <w:t xml:space="preserve">Rate of </w:t>
      </w:r>
      <w:r w:rsidR="7A7A8B85" w:rsidRPr="00ED697D">
        <w:t xml:space="preserve">hospital admissions due to a fall </w:t>
      </w:r>
      <w:r w:rsidRPr="00ED697D">
        <w:t xml:space="preserve">increased by </w:t>
      </w:r>
      <w:r w:rsidR="00D37EB8" w:rsidRPr="00ED697D">
        <w:t>20</w:t>
      </w:r>
      <w:r w:rsidRPr="00ED697D">
        <w:t xml:space="preserve">% between 2018-19 baseline and 2023-24. </w:t>
      </w:r>
      <w:r w:rsidR="005A4AD4" w:rsidRPr="007965B9">
        <w:t>This is deterioration in performance</w:t>
      </w:r>
      <w:r w:rsidR="005A4AD4" w:rsidRPr="00D90CDE">
        <w:rPr>
          <w:i/>
          <w:iCs/>
        </w:rPr>
        <w:t>.</w:t>
      </w:r>
      <w:r w:rsidRPr="00ED697D">
        <w:t xml:space="preserve"> There was decrease</w:t>
      </w:r>
      <w:r w:rsidR="005A4AD4">
        <w:t xml:space="preserve"> (improvement)</w:t>
      </w:r>
      <w:r w:rsidRPr="00ED697D">
        <w:t xml:space="preserve"> in 1 LCPP (</w:t>
      </w:r>
      <w:proofErr w:type="spellStart"/>
      <w:r w:rsidR="7F54559C" w:rsidRPr="00ED697D">
        <w:t>Coldside</w:t>
      </w:r>
      <w:proofErr w:type="spellEnd"/>
      <w:r w:rsidRPr="00ED697D">
        <w:t xml:space="preserve"> by </w:t>
      </w:r>
      <w:r w:rsidR="47C8D772" w:rsidRPr="00ED697D">
        <w:t>1</w:t>
      </w:r>
      <w:r w:rsidR="006B19DB" w:rsidRPr="00ED697D">
        <w:t>2</w:t>
      </w:r>
      <w:r w:rsidRPr="00ED697D">
        <w:t>%)</w:t>
      </w:r>
      <w:r w:rsidR="00ED697D" w:rsidRPr="00ED697D">
        <w:t>.</w:t>
      </w:r>
    </w:p>
    <w:p w14:paraId="7FD17389" w14:textId="77777777" w:rsidR="00ED697D" w:rsidRPr="00ED697D" w:rsidRDefault="00ED697D" w:rsidP="00ED697D">
      <w:pPr>
        <w:pStyle w:val="ListParagraph"/>
        <w:ind w:left="1440"/>
        <w:jc w:val="both"/>
        <w:rPr>
          <w:i/>
          <w:iCs/>
        </w:rPr>
      </w:pPr>
    </w:p>
    <w:p w14:paraId="4B6E5F8C" w14:textId="3E8ED5C7" w:rsidR="00E333D1" w:rsidRPr="005D2A5A" w:rsidRDefault="00E333D1" w:rsidP="00E333D1">
      <w:pPr>
        <w:pStyle w:val="ListParagraph"/>
        <w:numPr>
          <w:ilvl w:val="0"/>
          <w:numId w:val="2"/>
        </w:numPr>
        <w:jc w:val="both"/>
      </w:pPr>
      <w:r w:rsidRPr="005D2A5A">
        <w:t>90.</w:t>
      </w:r>
      <w:r w:rsidR="7813B50C" w:rsidRPr="005D2A5A">
        <w:t>7</w:t>
      </w:r>
      <w:r w:rsidRPr="005D2A5A">
        <w:t>% of the last 6 months of life was spent at home or in a community setting</w:t>
      </w:r>
      <w:r w:rsidR="00F75261" w:rsidRPr="005D2A5A">
        <w:t>;</w:t>
      </w:r>
      <w:r w:rsidRPr="005D2A5A">
        <w:t xml:space="preserve"> this is higher than the 201</w:t>
      </w:r>
      <w:r w:rsidR="0082107F" w:rsidRPr="005D2A5A">
        <w:t>8-19</w:t>
      </w:r>
      <w:r w:rsidRPr="005D2A5A">
        <w:t xml:space="preserve"> baseline of 8</w:t>
      </w:r>
      <w:r w:rsidR="004B1957" w:rsidRPr="005D2A5A">
        <w:t>9.1</w:t>
      </w:r>
      <w:r w:rsidRPr="005D2A5A">
        <w:t>% (improvement)</w:t>
      </w:r>
      <w:r w:rsidR="00F75261" w:rsidRPr="005D2A5A">
        <w:t>. A</w:t>
      </w:r>
      <w:r w:rsidRPr="005D2A5A">
        <w:t xml:space="preserve">lthough performance across Scotland is similar, </w:t>
      </w:r>
      <w:r w:rsidR="00F75261" w:rsidRPr="005D2A5A">
        <w:t>Dundee</w:t>
      </w:r>
      <w:r w:rsidRPr="005D2A5A">
        <w:t xml:space="preserve"> is </w:t>
      </w:r>
      <w:r w:rsidR="000B6A5C" w:rsidRPr="005D2A5A">
        <w:t>5</w:t>
      </w:r>
      <w:r w:rsidR="000B6A5C" w:rsidRPr="005D2A5A">
        <w:rPr>
          <w:vertAlign w:val="superscript"/>
        </w:rPr>
        <w:t>th</w:t>
      </w:r>
      <w:r w:rsidR="00755165" w:rsidRPr="005D2A5A">
        <w:t xml:space="preserve"> </w:t>
      </w:r>
      <w:r w:rsidRPr="005D2A5A">
        <w:t>best</w:t>
      </w:r>
      <w:r>
        <w:t xml:space="preserve"> out of the </w:t>
      </w:r>
      <w:r w:rsidR="005D2A5A">
        <w:t>32</w:t>
      </w:r>
      <w:r>
        <w:t xml:space="preserve"> partnerships</w:t>
      </w:r>
      <w:r w:rsidR="006668D4">
        <w:t xml:space="preserve">, </w:t>
      </w:r>
      <w:r w:rsidR="00B34262">
        <w:t>2</w:t>
      </w:r>
      <w:r w:rsidR="00B34262" w:rsidRPr="00B34262">
        <w:rPr>
          <w:vertAlign w:val="superscript"/>
        </w:rPr>
        <w:t>nd</w:t>
      </w:r>
      <w:r w:rsidR="00B34262">
        <w:t xml:space="preserve"> in the family group</w:t>
      </w:r>
      <w:r w:rsidR="005A1206">
        <w:t xml:space="preserve"> (</w:t>
      </w:r>
      <w:r w:rsidR="00C31831">
        <w:t>Local Government Benchmarking Framework)</w:t>
      </w:r>
      <w:r w:rsidR="006A1348">
        <w:t>.</w:t>
      </w:r>
    </w:p>
    <w:p w14:paraId="6454681B" w14:textId="77777777" w:rsidR="00E333D1" w:rsidRPr="00447F04" w:rsidRDefault="00E333D1" w:rsidP="00E333D1">
      <w:pPr>
        <w:pStyle w:val="ListParagraph"/>
        <w:rPr>
          <w:i/>
          <w:iCs/>
          <w:color w:val="FF0000"/>
        </w:rPr>
      </w:pPr>
    </w:p>
    <w:p w14:paraId="19997713" w14:textId="6051E74F" w:rsidR="0062472A" w:rsidRPr="002A4FFF" w:rsidRDefault="0062472A" w:rsidP="0062472A">
      <w:pPr>
        <w:pStyle w:val="ListParagraph"/>
        <w:numPr>
          <w:ilvl w:val="0"/>
          <w:numId w:val="2"/>
        </w:numPr>
        <w:jc w:val="both"/>
      </w:pPr>
      <w:r w:rsidRPr="002A4FFF">
        <w:t xml:space="preserve">Rate of bed days lost to standard delayed discharge for people aged 75+ is </w:t>
      </w:r>
      <w:r>
        <w:t>27</w:t>
      </w:r>
      <w:r w:rsidRPr="002A4FFF">
        <w:t>% more than the 2018-19 baseline</w:t>
      </w:r>
      <w:r w:rsidR="00597329">
        <w:t>, which is a deterioration.  However</w:t>
      </w:r>
      <w:r w:rsidR="00F85ED0">
        <w:t>,</w:t>
      </w:r>
      <w:r w:rsidR="00597329">
        <w:t xml:space="preserve"> there was an </w:t>
      </w:r>
      <w:r>
        <w:t>improve</w:t>
      </w:r>
      <w:r w:rsidR="00597329">
        <w:t>ment</w:t>
      </w:r>
      <w:r>
        <w:t xml:space="preserve"> in 4</w:t>
      </w:r>
      <w:r w:rsidRPr="002A4FFF">
        <w:t xml:space="preserve"> LCPPs. At Q4 the LCPP with the highest rate</w:t>
      </w:r>
      <w:r w:rsidR="00856796">
        <w:t xml:space="preserve"> (poorest)</w:t>
      </w:r>
      <w:r w:rsidRPr="002A4FFF">
        <w:t xml:space="preserve"> was </w:t>
      </w:r>
      <w:r w:rsidR="00E41653">
        <w:t>West End</w:t>
      </w:r>
      <w:r w:rsidRPr="002A4FFF">
        <w:t xml:space="preserve"> (</w:t>
      </w:r>
      <w:r>
        <w:t>47</w:t>
      </w:r>
      <w:r w:rsidR="00E41653">
        <w:t>9</w:t>
      </w:r>
      <w:r w:rsidRPr="002A4FFF">
        <w:t xml:space="preserve"> bed days lost per 1,000 people aged 75+) and the LCPP with the lowest </w:t>
      </w:r>
      <w:r w:rsidR="00856796">
        <w:t xml:space="preserve">(best) </w:t>
      </w:r>
      <w:r w:rsidRPr="002A4FFF">
        <w:t>rate was North East (</w:t>
      </w:r>
      <w:r>
        <w:t>141</w:t>
      </w:r>
      <w:r w:rsidRPr="002A4FFF">
        <w:t xml:space="preserve"> bed days lost per 1,000 people aged 75+). </w:t>
      </w:r>
      <w:r w:rsidR="00C31831">
        <w:t>Report PAC</w:t>
      </w:r>
      <w:r w:rsidR="00F85ED0">
        <w:t>28</w:t>
      </w:r>
      <w:r w:rsidR="00C31831">
        <w:t>-2024</w:t>
      </w:r>
      <w:r w:rsidRPr="002A4FFF">
        <w:t xml:space="preserve"> </w:t>
      </w:r>
      <w:r w:rsidR="00C31831">
        <w:t xml:space="preserve">provides a </w:t>
      </w:r>
      <w:r w:rsidR="00D312CD">
        <w:t xml:space="preserve">more comprehensive overview and analysis of data and performance for delayed discharge </w:t>
      </w:r>
      <w:r w:rsidR="00CF669B">
        <w:t xml:space="preserve">within the Partnership. </w:t>
      </w:r>
    </w:p>
    <w:p w14:paraId="2F79CDD3" w14:textId="77777777" w:rsidR="0062472A" w:rsidRPr="003F20D4" w:rsidRDefault="0062472A" w:rsidP="0062472A">
      <w:pPr>
        <w:pStyle w:val="ListParagraph"/>
        <w:rPr>
          <w:i/>
          <w:iCs/>
          <w:color w:val="FF0000"/>
          <w:highlight w:val="yellow"/>
        </w:rPr>
      </w:pPr>
    </w:p>
    <w:p w14:paraId="578E795D" w14:textId="22D4FF46" w:rsidR="00CF669B" w:rsidRPr="002A4FFF" w:rsidRDefault="0062472A" w:rsidP="00CF669B">
      <w:pPr>
        <w:pStyle w:val="ListParagraph"/>
        <w:numPr>
          <w:ilvl w:val="0"/>
          <w:numId w:val="2"/>
        </w:numPr>
        <w:jc w:val="both"/>
      </w:pPr>
      <w:r w:rsidRPr="00B55AFE">
        <w:t>Rate of bed days lost to complex (code 9) delayed discharge for people aged 75+ decreased</w:t>
      </w:r>
      <w:r w:rsidR="00B6453F">
        <w:t xml:space="preserve"> </w:t>
      </w:r>
      <w:r w:rsidRPr="00B55AFE">
        <w:t xml:space="preserve">by </w:t>
      </w:r>
      <w:r>
        <w:t>25</w:t>
      </w:r>
      <w:r w:rsidRPr="00B55AFE">
        <w:t>% between the 2018-19 baseline and Q</w:t>
      </w:r>
      <w:r>
        <w:t>4</w:t>
      </w:r>
      <w:r w:rsidRPr="00B55AFE">
        <w:t xml:space="preserve"> 2023-24, which is an improvement.  There were increases</w:t>
      </w:r>
      <w:r w:rsidR="00F85ED0">
        <w:t xml:space="preserve"> (deterioration)</w:t>
      </w:r>
      <w:r w:rsidRPr="00B55AFE">
        <w:t xml:space="preserve"> </w:t>
      </w:r>
      <w:r>
        <w:t>in 2 out</w:t>
      </w:r>
      <w:r w:rsidRPr="00B55AFE">
        <w:t xml:space="preserve"> of the 8 LCPPs.  Increases </w:t>
      </w:r>
      <w:r>
        <w:t>were 103% in West End and 213% in East End</w:t>
      </w:r>
      <w:r w:rsidRPr="00B55AFE">
        <w:t>.</w:t>
      </w:r>
      <w:r w:rsidR="00CF669B">
        <w:t xml:space="preserve"> Report PAC</w:t>
      </w:r>
      <w:r w:rsidR="00F85ED0">
        <w:t>28</w:t>
      </w:r>
      <w:r w:rsidR="00CF669B">
        <w:t>-2024</w:t>
      </w:r>
      <w:r w:rsidR="00CF669B" w:rsidRPr="002A4FFF">
        <w:t xml:space="preserve"> </w:t>
      </w:r>
      <w:r w:rsidR="00CF669B">
        <w:t xml:space="preserve">provides a more comprehensive overview and analysis of data and performance for delayed discharge within the Partnership. </w:t>
      </w:r>
    </w:p>
    <w:p w14:paraId="6ED9DAC9" w14:textId="0FD2C3B9" w:rsidR="0062472A" w:rsidRPr="00B55AFE" w:rsidRDefault="0062472A" w:rsidP="00CF669B">
      <w:pPr>
        <w:pStyle w:val="ListParagraph"/>
        <w:ind w:left="1440"/>
        <w:jc w:val="both"/>
      </w:pPr>
    </w:p>
    <w:p w14:paraId="01D45EC4" w14:textId="43B57EF8" w:rsidR="00653622" w:rsidRDefault="00653622">
      <w:pPr>
        <w:spacing w:after="160" w:line="259" w:lineRule="auto"/>
      </w:pPr>
      <w:r>
        <w:br w:type="page"/>
      </w:r>
    </w:p>
    <w:p w14:paraId="4D52F02A" w14:textId="77777777" w:rsidR="004B1957" w:rsidRDefault="004B1957" w:rsidP="004B1957">
      <w:pPr>
        <w:pStyle w:val="ListParagraph"/>
        <w:ind w:left="1440"/>
        <w:jc w:val="both"/>
      </w:pPr>
    </w:p>
    <w:p w14:paraId="6F267A72" w14:textId="77777777" w:rsidR="00653622" w:rsidRDefault="00C74350" w:rsidP="5FA1FECD">
      <w:pPr>
        <w:ind w:left="720" w:hanging="720"/>
        <w:jc w:val="both"/>
        <w:rPr>
          <w:rFonts w:cs="Arial"/>
          <w:lang w:eastAsia="en-GB"/>
        </w:rPr>
      </w:pPr>
      <w:r w:rsidRPr="0842DDBE">
        <w:rPr>
          <w:rFonts w:cs="Arial"/>
          <w:lang w:eastAsia="en-GB"/>
        </w:rPr>
        <w:t>5.</w:t>
      </w:r>
      <w:r w:rsidR="00847A78" w:rsidRPr="0842DDBE">
        <w:rPr>
          <w:rFonts w:cs="Arial"/>
          <w:lang w:eastAsia="en-GB"/>
        </w:rPr>
        <w:t>2</w:t>
      </w:r>
      <w:r>
        <w:tab/>
      </w:r>
      <w:bookmarkStart w:id="0" w:name="_Hlk139550555"/>
      <w:r w:rsidRPr="0842DDBE">
        <w:rPr>
          <w:rFonts w:cs="Arial"/>
          <w:lang w:eastAsia="en-GB"/>
        </w:rPr>
        <w:t xml:space="preserve">Public Health Scotland </w:t>
      </w:r>
      <w:r w:rsidR="00C34406" w:rsidRPr="0842DDBE">
        <w:rPr>
          <w:rFonts w:cs="Arial"/>
          <w:lang w:eastAsia="en-GB"/>
        </w:rPr>
        <w:t>publishes a</w:t>
      </w:r>
      <w:r w:rsidRPr="0842DDBE">
        <w:rPr>
          <w:rFonts w:cs="Arial"/>
          <w:lang w:eastAsia="en-GB"/>
        </w:rPr>
        <w:t xml:space="preserve"> </w:t>
      </w:r>
      <w:r w:rsidR="4AABC983" w:rsidRPr="0842DDBE">
        <w:rPr>
          <w:rFonts w:cs="Arial"/>
          <w:lang w:eastAsia="en-GB"/>
        </w:rPr>
        <w:t>report on the number of people who are waiting for Social Care and Care at Home service provided by the Health and Social Care Partnerships</w:t>
      </w:r>
      <w:r w:rsidRPr="0842DDBE">
        <w:rPr>
          <w:rFonts w:cs="Arial"/>
          <w:lang w:eastAsia="en-GB"/>
        </w:rPr>
        <w:t>. The information</w:t>
      </w:r>
      <w:r w:rsidR="00A864F4" w:rsidRPr="0842DDBE">
        <w:rPr>
          <w:rFonts w:cs="Arial"/>
          <w:lang w:eastAsia="en-GB"/>
        </w:rPr>
        <w:t>, contained</w:t>
      </w:r>
      <w:r w:rsidRPr="0842DDBE">
        <w:rPr>
          <w:rFonts w:cs="Arial"/>
          <w:lang w:eastAsia="en-GB"/>
        </w:rPr>
        <w:t xml:space="preserve"> </w:t>
      </w:r>
      <w:r w:rsidR="00DB724E" w:rsidRPr="0842DDBE">
        <w:rPr>
          <w:rFonts w:cs="Arial"/>
          <w:lang w:eastAsia="en-GB"/>
        </w:rPr>
        <w:t>i</w:t>
      </w:r>
      <w:r w:rsidR="00746270" w:rsidRPr="0842DDBE">
        <w:rPr>
          <w:rFonts w:cs="Arial"/>
          <w:lang w:eastAsia="en-GB"/>
        </w:rPr>
        <w:t>n Appendix 2</w:t>
      </w:r>
      <w:r w:rsidR="00A864F4" w:rsidRPr="0842DDBE">
        <w:rPr>
          <w:rFonts w:cs="Arial"/>
          <w:lang w:eastAsia="en-GB"/>
        </w:rPr>
        <w:t>,</w:t>
      </w:r>
      <w:r w:rsidR="00746270" w:rsidRPr="0842DDBE">
        <w:rPr>
          <w:rFonts w:cs="Arial"/>
          <w:lang w:eastAsia="en-GB"/>
        </w:rPr>
        <w:t xml:space="preserve"> </w:t>
      </w:r>
      <w:r w:rsidRPr="0842DDBE">
        <w:rPr>
          <w:rFonts w:cs="Arial"/>
          <w:lang w:eastAsia="en-GB"/>
        </w:rPr>
        <w:t xml:space="preserve">shows the number of people waiting </w:t>
      </w:r>
      <w:r w:rsidR="008F30D4" w:rsidRPr="0842DDBE">
        <w:rPr>
          <w:rFonts w:cs="Arial"/>
          <w:lang w:eastAsia="en-GB"/>
        </w:rPr>
        <w:t>for</w:t>
      </w:r>
      <w:r w:rsidRPr="0842DDBE">
        <w:rPr>
          <w:rFonts w:cs="Arial"/>
          <w:lang w:eastAsia="en-GB"/>
        </w:rPr>
        <w:t xml:space="preserve"> an assessment for a package of care to allow them to live at home or in the community and the number of hours of care that has been assessed but not yet delivered. The information is presented by people waiting in hospital or </w:t>
      </w:r>
      <w:r w:rsidRPr="00653622">
        <w:rPr>
          <w:rFonts w:cs="Arial"/>
          <w:lang w:eastAsia="en-GB"/>
        </w:rPr>
        <w:t>waiting at home</w:t>
      </w:r>
      <w:r w:rsidR="00746270" w:rsidRPr="00653622">
        <w:rPr>
          <w:rFonts w:cs="Arial"/>
          <w:lang w:eastAsia="en-GB"/>
        </w:rPr>
        <w:t xml:space="preserve"> / in the </w:t>
      </w:r>
      <w:r w:rsidRPr="00653622">
        <w:rPr>
          <w:rFonts w:cs="Arial"/>
          <w:lang w:eastAsia="en-GB"/>
        </w:rPr>
        <w:t xml:space="preserve">community for the care at home service to be delivered. </w:t>
      </w:r>
      <w:r w:rsidR="00653622" w:rsidRPr="00653622">
        <w:rPr>
          <w:rFonts w:cs="Arial"/>
          <w:lang w:eastAsia="en-GB"/>
        </w:rPr>
        <w:t xml:space="preserve">  </w:t>
      </w:r>
    </w:p>
    <w:p w14:paraId="28350755" w14:textId="77777777" w:rsidR="00B10352" w:rsidRPr="00653622" w:rsidRDefault="00B10352" w:rsidP="5FA1FECD">
      <w:pPr>
        <w:ind w:left="720" w:hanging="720"/>
        <w:jc w:val="both"/>
        <w:rPr>
          <w:rFonts w:cs="Arial"/>
          <w:lang w:eastAsia="en-GB"/>
        </w:rPr>
      </w:pPr>
    </w:p>
    <w:p w14:paraId="31DD1A71" w14:textId="3F6AD8D1" w:rsidR="00653622" w:rsidRPr="00653622" w:rsidRDefault="00653622" w:rsidP="00653622">
      <w:pPr>
        <w:shd w:val="clear" w:color="auto" w:fill="FFFFFF" w:themeFill="background1"/>
        <w:spacing w:after="150" w:line="259" w:lineRule="auto"/>
        <w:ind w:left="720"/>
        <w:rPr>
          <w:rFonts w:eastAsia="Arial" w:cs="Arial"/>
        </w:rPr>
      </w:pPr>
      <w:r>
        <w:rPr>
          <w:rFonts w:eastAsia="Arial" w:cs="Arial"/>
        </w:rPr>
        <w:t>Data published from</w:t>
      </w:r>
      <w:r w:rsidRPr="00653622">
        <w:rPr>
          <w:rFonts w:eastAsia="Arial" w:cs="Arial"/>
        </w:rPr>
        <w:t xml:space="preserve"> 15 January 2024 onwards reflect improved definitions and therefore </w:t>
      </w:r>
      <w:r>
        <w:rPr>
          <w:rFonts w:eastAsia="Arial" w:cs="Arial"/>
        </w:rPr>
        <w:t xml:space="preserve">caution should be taken when </w:t>
      </w:r>
      <w:r w:rsidRPr="00653622">
        <w:rPr>
          <w:rFonts w:eastAsia="Arial" w:cs="Arial"/>
        </w:rPr>
        <w:t>compar</w:t>
      </w:r>
      <w:r>
        <w:rPr>
          <w:rFonts w:eastAsia="Arial" w:cs="Arial"/>
        </w:rPr>
        <w:t>ing with</w:t>
      </w:r>
      <w:r w:rsidRPr="00653622">
        <w:rPr>
          <w:rFonts w:eastAsia="Arial" w:cs="Arial"/>
        </w:rPr>
        <w:t xml:space="preserve"> figures </w:t>
      </w:r>
      <w:r>
        <w:rPr>
          <w:rFonts w:eastAsia="Arial" w:cs="Arial"/>
        </w:rPr>
        <w:t>prior to</w:t>
      </w:r>
      <w:r w:rsidRPr="00653622">
        <w:rPr>
          <w:rFonts w:eastAsia="Arial" w:cs="Arial"/>
        </w:rPr>
        <w:t xml:space="preserve"> this date</w:t>
      </w:r>
      <w:r>
        <w:rPr>
          <w:rFonts w:eastAsia="Arial" w:cs="Arial"/>
        </w:rPr>
        <w:t>.</w:t>
      </w:r>
    </w:p>
    <w:p w14:paraId="0A9A708F" w14:textId="6FFA8365" w:rsidR="00C74350" w:rsidRDefault="00C74350" w:rsidP="00653622">
      <w:pPr>
        <w:ind w:left="720"/>
        <w:jc w:val="both"/>
        <w:rPr>
          <w:rFonts w:cs="Arial"/>
          <w:lang w:eastAsia="en-GB"/>
        </w:rPr>
      </w:pPr>
      <w:r w:rsidRPr="0842DDBE">
        <w:rPr>
          <w:rFonts w:cs="Arial"/>
          <w:lang w:eastAsia="en-GB"/>
        </w:rPr>
        <w:t>In Dundee</w:t>
      </w:r>
      <w:r w:rsidR="008F30D4" w:rsidRPr="0842DDBE">
        <w:rPr>
          <w:rFonts w:cs="Arial"/>
          <w:lang w:eastAsia="en-GB"/>
        </w:rPr>
        <w:t xml:space="preserve">, as </w:t>
      </w:r>
      <w:r w:rsidRPr="0842DDBE">
        <w:rPr>
          <w:rFonts w:cs="Arial"/>
          <w:lang w:eastAsia="en-GB"/>
        </w:rPr>
        <w:t xml:space="preserve">at </w:t>
      </w:r>
      <w:r w:rsidR="408B9048" w:rsidRPr="0842DDBE">
        <w:rPr>
          <w:rFonts w:cs="Arial"/>
          <w:lang w:eastAsia="en-GB"/>
        </w:rPr>
        <w:t>2</w:t>
      </w:r>
      <w:r w:rsidR="000E41DE">
        <w:rPr>
          <w:rFonts w:cs="Arial"/>
          <w:lang w:eastAsia="en-GB"/>
        </w:rPr>
        <w:t>4</w:t>
      </w:r>
      <w:r w:rsidR="408B9048" w:rsidRPr="0842DDBE">
        <w:rPr>
          <w:rFonts w:cs="Arial"/>
          <w:lang w:eastAsia="en-GB"/>
        </w:rPr>
        <w:t xml:space="preserve"> </w:t>
      </w:r>
      <w:r w:rsidR="000E41DE">
        <w:rPr>
          <w:rFonts w:cs="Arial"/>
          <w:lang w:eastAsia="en-GB"/>
        </w:rPr>
        <w:t>June</w:t>
      </w:r>
      <w:r w:rsidR="004167F2" w:rsidRPr="0842DDBE">
        <w:rPr>
          <w:rFonts w:cs="Arial"/>
          <w:lang w:eastAsia="en-GB"/>
        </w:rPr>
        <w:t xml:space="preserve"> 202</w:t>
      </w:r>
      <w:r w:rsidR="442DE928" w:rsidRPr="0842DDBE">
        <w:rPr>
          <w:rFonts w:cs="Arial"/>
          <w:lang w:eastAsia="en-GB"/>
        </w:rPr>
        <w:t>4</w:t>
      </w:r>
      <w:r w:rsidR="008F30D4" w:rsidRPr="0842DDBE">
        <w:rPr>
          <w:rFonts w:cs="Arial"/>
          <w:lang w:eastAsia="en-GB"/>
        </w:rPr>
        <w:t>:</w:t>
      </w:r>
    </w:p>
    <w:p w14:paraId="6215EE78" w14:textId="77777777" w:rsidR="008F30D4" w:rsidRPr="008F30D4" w:rsidRDefault="008F30D4" w:rsidP="008F30D4">
      <w:pPr>
        <w:ind w:left="720" w:hanging="720"/>
        <w:jc w:val="both"/>
        <w:rPr>
          <w:rFonts w:cs="Arial"/>
          <w:bCs/>
          <w:lang w:eastAsia="en-GB"/>
        </w:rPr>
      </w:pPr>
    </w:p>
    <w:bookmarkEnd w:id="0"/>
    <w:p w14:paraId="126C2F05" w14:textId="68ABCF72" w:rsidR="001F46B8" w:rsidRPr="001B21AB" w:rsidRDefault="7E3AF311" w:rsidP="0842DDBE">
      <w:pPr>
        <w:pStyle w:val="ListParagraph"/>
        <w:numPr>
          <w:ilvl w:val="0"/>
          <w:numId w:val="2"/>
        </w:numPr>
        <w:spacing w:after="160" w:line="259" w:lineRule="auto"/>
        <w:jc w:val="both"/>
        <w:rPr>
          <w:rFonts w:cs="Arial"/>
          <w:b/>
          <w:bCs/>
        </w:rPr>
      </w:pPr>
      <w:r w:rsidRPr="0842DDBE">
        <w:rPr>
          <w:rFonts w:cs="Arial"/>
        </w:rPr>
        <w:t>0 people waited in hospital and 1</w:t>
      </w:r>
      <w:r w:rsidR="00F10C26">
        <w:rPr>
          <w:rFonts w:cs="Arial"/>
        </w:rPr>
        <w:t>19</w:t>
      </w:r>
      <w:r w:rsidRPr="0842DDBE">
        <w:rPr>
          <w:rFonts w:cs="Arial"/>
        </w:rPr>
        <w:t xml:space="preserve"> people waited in the community for a social care assessment.  </w:t>
      </w:r>
      <w:r w:rsidR="005F0FF4" w:rsidRPr="0842DDBE">
        <w:rPr>
          <w:rFonts w:cs="Arial"/>
        </w:rPr>
        <w:t>0 people have waited in hospital each week since 17 October 2022.</w:t>
      </w:r>
    </w:p>
    <w:p w14:paraId="38F8102C" w14:textId="67B4C60D" w:rsidR="005F0FF4" w:rsidRDefault="005F0FF4" w:rsidP="0842DDBE">
      <w:pPr>
        <w:pStyle w:val="ListParagraph"/>
        <w:spacing w:after="160" w:line="259" w:lineRule="auto"/>
        <w:ind w:left="1440"/>
        <w:jc w:val="both"/>
        <w:rPr>
          <w:rFonts w:cs="Arial"/>
          <w:b/>
          <w:bCs/>
          <w:sz w:val="22"/>
          <w:szCs w:val="22"/>
        </w:rPr>
      </w:pPr>
      <w:r w:rsidRPr="0842DDBE">
        <w:rPr>
          <w:rFonts w:cs="Arial"/>
        </w:rPr>
        <w:t xml:space="preserve"> </w:t>
      </w:r>
    </w:p>
    <w:p w14:paraId="4DAFDEC2" w14:textId="7E7AC4D2" w:rsidR="0842DDBE" w:rsidRDefault="00F10C26" w:rsidP="00B447E2">
      <w:pPr>
        <w:pStyle w:val="ListParagraph"/>
        <w:numPr>
          <w:ilvl w:val="0"/>
          <w:numId w:val="2"/>
        </w:numPr>
        <w:jc w:val="both"/>
        <w:rPr>
          <w:rFonts w:cs="Arial"/>
        </w:rPr>
      </w:pPr>
      <w:r>
        <w:rPr>
          <w:rFonts w:cs="Arial"/>
        </w:rPr>
        <w:t>11</w:t>
      </w:r>
      <w:r w:rsidR="6A5A9272" w:rsidRPr="008B6ADB">
        <w:rPr>
          <w:rFonts w:cs="Arial"/>
        </w:rPr>
        <w:t xml:space="preserve"> people were assessed and waiting for a care at home package in hospital (</w:t>
      </w:r>
      <w:r w:rsidR="00572714">
        <w:rPr>
          <w:rFonts w:cs="Arial"/>
        </w:rPr>
        <w:t>165</w:t>
      </w:r>
      <w:r w:rsidR="6A5A9272" w:rsidRPr="008B6ADB">
        <w:rPr>
          <w:rFonts w:cs="Arial"/>
        </w:rPr>
        <w:t xml:space="preserve"> hours yet to be provided). </w:t>
      </w:r>
    </w:p>
    <w:p w14:paraId="593EB9D8" w14:textId="77777777" w:rsidR="008B6ADB" w:rsidRPr="008B6ADB" w:rsidRDefault="008B6ADB" w:rsidP="008B6ADB">
      <w:pPr>
        <w:pStyle w:val="ListParagraph"/>
        <w:rPr>
          <w:rFonts w:cs="Arial"/>
        </w:rPr>
      </w:pPr>
    </w:p>
    <w:p w14:paraId="01E80EAB" w14:textId="43112156" w:rsidR="0842DDBE" w:rsidRDefault="6A5A9272" w:rsidP="00B447E2">
      <w:pPr>
        <w:pStyle w:val="ListParagraph"/>
        <w:numPr>
          <w:ilvl w:val="0"/>
          <w:numId w:val="2"/>
        </w:numPr>
        <w:jc w:val="both"/>
        <w:rPr>
          <w:rFonts w:cs="Arial"/>
        </w:rPr>
      </w:pPr>
      <w:r w:rsidRPr="008B6ADB">
        <w:rPr>
          <w:rFonts w:cs="Arial"/>
        </w:rPr>
        <w:t>2</w:t>
      </w:r>
      <w:r w:rsidR="00F10C26">
        <w:rPr>
          <w:rFonts w:cs="Arial"/>
        </w:rPr>
        <w:t>3</w:t>
      </w:r>
      <w:r w:rsidRPr="008B6ADB">
        <w:rPr>
          <w:rFonts w:cs="Arial"/>
        </w:rPr>
        <w:t xml:space="preserve"> people were assessed and waiting for a care at home package in the community (1</w:t>
      </w:r>
      <w:r w:rsidR="00572714">
        <w:rPr>
          <w:rFonts w:cs="Arial"/>
        </w:rPr>
        <w:t>35</w:t>
      </w:r>
      <w:r w:rsidRPr="008B6ADB">
        <w:rPr>
          <w:rFonts w:cs="Arial"/>
        </w:rPr>
        <w:t xml:space="preserve"> hours yet to be provided). </w:t>
      </w:r>
    </w:p>
    <w:p w14:paraId="27CAFBF4" w14:textId="77777777" w:rsidR="008B6ADB" w:rsidRPr="008B6ADB" w:rsidRDefault="008B6ADB" w:rsidP="008B6ADB">
      <w:pPr>
        <w:pStyle w:val="ListParagraph"/>
        <w:rPr>
          <w:rFonts w:cs="Arial"/>
        </w:rPr>
      </w:pPr>
    </w:p>
    <w:p w14:paraId="2DD5792E" w14:textId="5479A1D3" w:rsidR="0842DDBE" w:rsidRPr="008B6ADB" w:rsidRDefault="4901917F" w:rsidP="00B447E2">
      <w:pPr>
        <w:pStyle w:val="ListParagraph"/>
        <w:numPr>
          <w:ilvl w:val="0"/>
          <w:numId w:val="2"/>
        </w:numPr>
        <w:jc w:val="both"/>
        <w:rPr>
          <w:rFonts w:cs="Arial"/>
        </w:rPr>
      </w:pPr>
      <w:r w:rsidRPr="008B6ADB">
        <w:rPr>
          <w:rFonts w:cs="Arial"/>
        </w:rPr>
        <w:t>For those already in receipt of a care at home package 1</w:t>
      </w:r>
      <w:r w:rsidR="00572714">
        <w:rPr>
          <w:rFonts w:cs="Arial"/>
        </w:rPr>
        <w:t>28</w:t>
      </w:r>
      <w:r w:rsidRPr="008B6ADB">
        <w:rPr>
          <w:rFonts w:cs="Arial"/>
        </w:rPr>
        <w:t xml:space="preserve"> additional hours were required and not provided. </w:t>
      </w:r>
    </w:p>
    <w:p w14:paraId="414464C2" w14:textId="77777777" w:rsidR="002D6032" w:rsidRPr="002D6032" w:rsidRDefault="002D6032" w:rsidP="002D6032">
      <w:pPr>
        <w:jc w:val="both"/>
        <w:rPr>
          <w:rFonts w:cs="Arial"/>
        </w:rPr>
      </w:pPr>
    </w:p>
    <w:p w14:paraId="6129EB36" w14:textId="58103A5D" w:rsidR="00C6360C" w:rsidRPr="00CF69AA" w:rsidRDefault="00B64214" w:rsidP="00C6360C">
      <w:pPr>
        <w:jc w:val="both"/>
        <w:rPr>
          <w:b/>
        </w:rPr>
      </w:pPr>
      <w:r>
        <w:rPr>
          <w:b/>
        </w:rPr>
        <w:t>6</w:t>
      </w:r>
      <w:r w:rsidR="00C6360C">
        <w:rPr>
          <w:b/>
        </w:rPr>
        <w:t>.0</w:t>
      </w:r>
      <w:r w:rsidR="00C6360C" w:rsidRPr="00CF69AA">
        <w:rPr>
          <w:b/>
        </w:rPr>
        <w:tab/>
        <w:t>POLICY IMPLICATIONS</w:t>
      </w:r>
    </w:p>
    <w:p w14:paraId="20317313" w14:textId="77777777" w:rsidR="00C6360C" w:rsidRDefault="00C6360C" w:rsidP="00C6360C">
      <w:pPr>
        <w:jc w:val="both"/>
      </w:pPr>
    </w:p>
    <w:p w14:paraId="36391B31" w14:textId="77777777" w:rsidR="00A01475" w:rsidRDefault="00B64214" w:rsidP="00A01475">
      <w:pPr>
        <w:ind w:left="720" w:hanging="720"/>
        <w:jc w:val="both"/>
        <w:rPr>
          <w:rStyle w:val="normaltextrun"/>
          <w:rFonts w:cs="Arial"/>
          <w:color w:val="000000"/>
          <w:shd w:val="clear" w:color="auto" w:fill="FFFFFF"/>
        </w:rPr>
      </w:pPr>
      <w:r>
        <w:t>6</w:t>
      </w:r>
      <w:r w:rsidR="00B804FF">
        <w:t>.1</w:t>
      </w:r>
      <w:r w:rsidR="00B804FF">
        <w:tab/>
      </w:r>
      <w:r w:rsidR="00A01475">
        <w:rPr>
          <w:rStyle w:val="normaltextrun"/>
          <w:rFonts w:cs="Arial"/>
          <w:color w:val="000000"/>
          <w:shd w:val="clear" w:color="auto" w:fill="FFFFFF"/>
        </w:rPr>
        <w:t>This report has been subject to the Pre-IIA Screening Tool and does not make any recommendations for change to strategy, policy, procedures, services or funding and so has not been subject to an Integrated Impact Assessment. An appropriate senior manager has reviewed and agreed with this assessment.</w:t>
      </w:r>
    </w:p>
    <w:p w14:paraId="58513339" w14:textId="27319CBB" w:rsidR="00C6360C" w:rsidRDefault="00C6360C" w:rsidP="00C6360C">
      <w:pPr>
        <w:pStyle w:val="ListParagraph"/>
        <w:ind w:left="0"/>
      </w:pPr>
    </w:p>
    <w:p w14:paraId="3E26F390" w14:textId="010C9EC0" w:rsidR="00C6360C" w:rsidRDefault="00B64214" w:rsidP="00D850F2">
      <w:pPr>
        <w:rPr>
          <w:rFonts w:cs="Arial"/>
          <w:b/>
        </w:rPr>
      </w:pPr>
      <w:r>
        <w:rPr>
          <w:rFonts w:cs="Arial"/>
          <w:b/>
        </w:rPr>
        <w:t>7</w:t>
      </w:r>
      <w:r w:rsidR="00C6360C" w:rsidRPr="004B03E8">
        <w:rPr>
          <w:rFonts w:cs="Arial"/>
          <w:b/>
        </w:rPr>
        <w:t>.0</w:t>
      </w:r>
      <w:r w:rsidR="00C6360C">
        <w:rPr>
          <w:rFonts w:cs="Arial"/>
          <w:b/>
        </w:rPr>
        <w:tab/>
      </w:r>
      <w:r w:rsidR="00C6360C" w:rsidRPr="00BF6349">
        <w:rPr>
          <w:rFonts w:cs="Arial"/>
          <w:b/>
        </w:rPr>
        <w:t>RISK ASSESSMENT</w:t>
      </w:r>
    </w:p>
    <w:p w14:paraId="775ABDB1" w14:textId="77777777" w:rsidR="00B804FF" w:rsidRDefault="00B804FF" w:rsidP="00D850F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894"/>
      </w:tblGrid>
      <w:tr w:rsidR="00605EE9" w14:paraId="035CF3FC" w14:textId="77777777" w:rsidTr="0842DDBE">
        <w:tc>
          <w:tcPr>
            <w:tcW w:w="2122" w:type="dxa"/>
            <w:tcBorders>
              <w:top w:val="single" w:sz="4" w:space="0" w:color="auto"/>
              <w:left w:val="single" w:sz="4" w:space="0" w:color="auto"/>
              <w:bottom w:val="single" w:sz="4" w:space="0" w:color="auto"/>
              <w:right w:val="single" w:sz="4" w:space="0" w:color="auto"/>
            </w:tcBorders>
          </w:tcPr>
          <w:p w14:paraId="47B6A969" w14:textId="77777777" w:rsidR="00605EE9" w:rsidRDefault="00605EE9">
            <w:pPr>
              <w:spacing w:line="256" w:lineRule="auto"/>
              <w:rPr>
                <w:rFonts w:cs="Arial"/>
                <w:b/>
              </w:rPr>
            </w:pPr>
          </w:p>
          <w:p w14:paraId="458DEF5F" w14:textId="77777777" w:rsidR="00605EE9" w:rsidRDefault="00605EE9">
            <w:pPr>
              <w:spacing w:line="256" w:lineRule="auto"/>
              <w:rPr>
                <w:rFonts w:cs="Arial"/>
                <w:b/>
              </w:rPr>
            </w:pPr>
            <w:r>
              <w:rPr>
                <w:rFonts w:cs="Arial"/>
                <w:b/>
              </w:rPr>
              <w:t>Risk 1</w:t>
            </w:r>
          </w:p>
          <w:p w14:paraId="7124DB43" w14:textId="77777777" w:rsidR="00605EE9" w:rsidRDefault="00605EE9">
            <w:pPr>
              <w:spacing w:line="256" w:lineRule="auto"/>
              <w:rPr>
                <w:rFonts w:cs="Arial"/>
                <w:b/>
              </w:rPr>
            </w:pPr>
            <w:r>
              <w:rPr>
                <w:rFonts w:cs="Arial"/>
                <w:b/>
              </w:rPr>
              <w:t>Description</w:t>
            </w:r>
          </w:p>
        </w:tc>
        <w:tc>
          <w:tcPr>
            <w:tcW w:w="6894" w:type="dxa"/>
            <w:tcBorders>
              <w:top w:val="single" w:sz="4" w:space="0" w:color="auto"/>
              <w:left w:val="single" w:sz="4" w:space="0" w:color="auto"/>
              <w:bottom w:val="single" w:sz="4" w:space="0" w:color="auto"/>
              <w:right w:val="single" w:sz="4" w:space="0" w:color="auto"/>
            </w:tcBorders>
          </w:tcPr>
          <w:p w14:paraId="2DFC8BAF" w14:textId="6FB89696" w:rsidR="00605EE9" w:rsidRDefault="680010B3" w:rsidP="0842DDBE">
            <w:pPr>
              <w:spacing w:line="256" w:lineRule="auto"/>
              <w:rPr>
                <w:rFonts w:cs="Arial"/>
                <w:lang w:val="en-US"/>
              </w:rPr>
            </w:pPr>
            <w:r w:rsidRPr="0842DDBE">
              <w:rPr>
                <w:rFonts w:cs="Arial"/>
                <w:lang w:val="en-US"/>
              </w:rPr>
              <w:t xml:space="preserve">Poor </w:t>
            </w:r>
            <w:r w:rsidR="00B53EED" w:rsidRPr="0842DDBE">
              <w:rPr>
                <w:rFonts w:cs="Arial"/>
                <w:lang w:val="en-US"/>
              </w:rPr>
              <w:t>performance</w:t>
            </w:r>
            <w:r w:rsidR="65218404" w:rsidRPr="0842DDBE">
              <w:rPr>
                <w:rFonts w:cs="Arial"/>
                <w:lang w:val="en-US"/>
              </w:rPr>
              <w:t xml:space="preserve"> against national indicators could affect outcomes for individuals and their </w:t>
            </w:r>
            <w:proofErr w:type="spellStart"/>
            <w:r w:rsidR="65218404" w:rsidRPr="0842DDBE">
              <w:rPr>
                <w:rFonts w:cs="Arial"/>
                <w:lang w:val="en-US"/>
              </w:rPr>
              <w:t>carers</w:t>
            </w:r>
            <w:proofErr w:type="spellEnd"/>
            <w:r w:rsidR="65218404" w:rsidRPr="0842DDBE">
              <w:rPr>
                <w:rFonts w:cs="Arial"/>
                <w:lang w:val="en-US"/>
              </w:rPr>
              <w:t xml:space="preserve">, spend associated with poor performance </w:t>
            </w:r>
            <w:r w:rsidRPr="0842DDBE">
              <w:rPr>
                <w:rFonts w:cs="Arial"/>
                <w:lang w:val="en-US"/>
              </w:rPr>
              <w:t xml:space="preserve">and the ability of the IJB to deliver fully commitments set out in the Strategic and Commissioning Plan. </w:t>
            </w:r>
          </w:p>
          <w:p w14:paraId="4C87733E" w14:textId="77777777" w:rsidR="00605EE9" w:rsidRDefault="00605EE9">
            <w:pPr>
              <w:spacing w:line="256" w:lineRule="auto"/>
              <w:rPr>
                <w:rFonts w:cs="Arial"/>
                <w:lang w:val="en"/>
              </w:rPr>
            </w:pPr>
          </w:p>
        </w:tc>
      </w:tr>
      <w:tr w:rsidR="00605EE9" w14:paraId="0E43A010" w14:textId="77777777" w:rsidTr="0842DDBE">
        <w:tc>
          <w:tcPr>
            <w:tcW w:w="2122" w:type="dxa"/>
            <w:tcBorders>
              <w:top w:val="single" w:sz="4" w:space="0" w:color="auto"/>
              <w:left w:val="single" w:sz="4" w:space="0" w:color="auto"/>
              <w:bottom w:val="single" w:sz="4" w:space="0" w:color="auto"/>
              <w:right w:val="single" w:sz="4" w:space="0" w:color="auto"/>
            </w:tcBorders>
            <w:hideMark/>
          </w:tcPr>
          <w:p w14:paraId="2008B196" w14:textId="77777777" w:rsidR="00605EE9" w:rsidRDefault="00605EE9">
            <w:pPr>
              <w:spacing w:line="256" w:lineRule="auto"/>
              <w:rPr>
                <w:rFonts w:cs="Arial"/>
                <w:b/>
              </w:rPr>
            </w:pPr>
            <w:r>
              <w:rPr>
                <w:rFonts w:cs="Arial"/>
                <w:b/>
              </w:rPr>
              <w:t>Risk Category</w:t>
            </w:r>
          </w:p>
        </w:tc>
        <w:tc>
          <w:tcPr>
            <w:tcW w:w="6894" w:type="dxa"/>
            <w:tcBorders>
              <w:top w:val="single" w:sz="4" w:space="0" w:color="auto"/>
              <w:left w:val="single" w:sz="4" w:space="0" w:color="auto"/>
              <w:bottom w:val="single" w:sz="4" w:space="0" w:color="auto"/>
              <w:right w:val="single" w:sz="4" w:space="0" w:color="auto"/>
            </w:tcBorders>
          </w:tcPr>
          <w:p w14:paraId="08919353" w14:textId="77777777" w:rsidR="00605EE9" w:rsidRDefault="00605EE9">
            <w:pPr>
              <w:spacing w:line="256" w:lineRule="auto"/>
              <w:rPr>
                <w:rFonts w:cs="Arial"/>
                <w:lang w:val="en"/>
              </w:rPr>
            </w:pPr>
            <w:r>
              <w:rPr>
                <w:rFonts w:cs="Arial"/>
                <w:lang w:val="en"/>
              </w:rPr>
              <w:t>Financial, Governance, Political</w:t>
            </w:r>
          </w:p>
          <w:p w14:paraId="53CD83BC" w14:textId="77777777" w:rsidR="00605EE9" w:rsidRDefault="00605EE9">
            <w:pPr>
              <w:spacing w:line="256" w:lineRule="auto"/>
              <w:rPr>
                <w:rFonts w:cs="Arial"/>
                <w:lang w:val="en"/>
              </w:rPr>
            </w:pPr>
          </w:p>
        </w:tc>
      </w:tr>
      <w:tr w:rsidR="00605EE9" w14:paraId="7A217CA9" w14:textId="77777777" w:rsidTr="0842DDBE">
        <w:tc>
          <w:tcPr>
            <w:tcW w:w="2122" w:type="dxa"/>
            <w:tcBorders>
              <w:top w:val="single" w:sz="4" w:space="0" w:color="auto"/>
              <w:left w:val="single" w:sz="4" w:space="0" w:color="auto"/>
              <w:bottom w:val="single" w:sz="4" w:space="0" w:color="auto"/>
              <w:right w:val="single" w:sz="4" w:space="0" w:color="auto"/>
            </w:tcBorders>
            <w:hideMark/>
          </w:tcPr>
          <w:p w14:paraId="53603458" w14:textId="77777777" w:rsidR="00605EE9" w:rsidRDefault="00605EE9">
            <w:pPr>
              <w:spacing w:line="256" w:lineRule="auto"/>
              <w:rPr>
                <w:rFonts w:cs="Arial"/>
                <w:b/>
                <w:lang w:val="en"/>
              </w:rPr>
            </w:pPr>
            <w:r>
              <w:rPr>
                <w:rFonts w:cs="Arial"/>
                <w:b/>
              </w:rPr>
              <w:t xml:space="preserve">Inherent Risk Level </w:t>
            </w:r>
          </w:p>
        </w:tc>
        <w:tc>
          <w:tcPr>
            <w:tcW w:w="6894" w:type="dxa"/>
            <w:tcBorders>
              <w:top w:val="single" w:sz="4" w:space="0" w:color="auto"/>
              <w:left w:val="single" w:sz="4" w:space="0" w:color="auto"/>
              <w:bottom w:val="single" w:sz="4" w:space="0" w:color="auto"/>
              <w:right w:val="single" w:sz="4" w:space="0" w:color="auto"/>
            </w:tcBorders>
          </w:tcPr>
          <w:p w14:paraId="6512422D" w14:textId="04236743" w:rsidR="009D40DE" w:rsidRDefault="009D40DE">
            <w:pPr>
              <w:spacing w:line="256" w:lineRule="auto"/>
              <w:jc w:val="both"/>
              <w:rPr>
                <w:rFonts w:cs="Arial"/>
              </w:rPr>
            </w:pPr>
            <w:r>
              <w:rPr>
                <w:rFonts w:cs="Arial"/>
              </w:rPr>
              <w:t>Likelihood 3 x Impact 5 = Risk Scoring 15 (which is an Extreme Risk Level)</w:t>
            </w:r>
          </w:p>
          <w:p w14:paraId="18BBDD32" w14:textId="77777777" w:rsidR="00605EE9" w:rsidRDefault="00605EE9" w:rsidP="009D40DE">
            <w:pPr>
              <w:spacing w:line="256" w:lineRule="auto"/>
              <w:jc w:val="both"/>
              <w:rPr>
                <w:rFonts w:cs="Arial"/>
                <w:lang w:val="en"/>
              </w:rPr>
            </w:pPr>
          </w:p>
        </w:tc>
      </w:tr>
      <w:tr w:rsidR="00605EE9" w14:paraId="03390FEF" w14:textId="77777777" w:rsidTr="0842DDBE">
        <w:tc>
          <w:tcPr>
            <w:tcW w:w="2122" w:type="dxa"/>
            <w:tcBorders>
              <w:top w:val="single" w:sz="4" w:space="0" w:color="auto"/>
              <w:left w:val="single" w:sz="4" w:space="0" w:color="auto"/>
              <w:bottom w:val="single" w:sz="4" w:space="0" w:color="auto"/>
              <w:right w:val="single" w:sz="4" w:space="0" w:color="auto"/>
            </w:tcBorders>
            <w:hideMark/>
          </w:tcPr>
          <w:p w14:paraId="71B853C1" w14:textId="77777777" w:rsidR="00605EE9" w:rsidRDefault="00605EE9">
            <w:pPr>
              <w:spacing w:line="256" w:lineRule="auto"/>
              <w:rPr>
                <w:rFonts w:cs="Arial"/>
              </w:rPr>
            </w:pPr>
            <w:r>
              <w:rPr>
                <w:rFonts w:cs="Arial"/>
                <w:b/>
              </w:rPr>
              <w:t>Mitigating Actions</w:t>
            </w:r>
            <w:r>
              <w:rPr>
                <w:rFonts w:cs="Arial"/>
              </w:rPr>
              <w:t xml:space="preserve"> (including timescales and </w:t>
            </w:r>
            <w:proofErr w:type="gramStart"/>
            <w:r>
              <w:rPr>
                <w:rFonts w:cs="Arial"/>
              </w:rPr>
              <w:t>resources )</w:t>
            </w:r>
            <w:proofErr w:type="gramEnd"/>
          </w:p>
        </w:tc>
        <w:tc>
          <w:tcPr>
            <w:tcW w:w="6894" w:type="dxa"/>
            <w:tcBorders>
              <w:top w:val="single" w:sz="4" w:space="0" w:color="auto"/>
              <w:left w:val="single" w:sz="4" w:space="0" w:color="auto"/>
              <w:bottom w:val="single" w:sz="4" w:space="0" w:color="auto"/>
              <w:right w:val="single" w:sz="4" w:space="0" w:color="auto"/>
            </w:tcBorders>
          </w:tcPr>
          <w:p w14:paraId="477216C3" w14:textId="77777777" w:rsidR="00605EE9" w:rsidRDefault="65218404" w:rsidP="0842DDBE">
            <w:pPr>
              <w:pStyle w:val="ListParagraph"/>
              <w:numPr>
                <w:ilvl w:val="0"/>
                <w:numId w:val="3"/>
              </w:numPr>
              <w:spacing w:line="256" w:lineRule="auto"/>
              <w:rPr>
                <w:rFonts w:cs="Arial"/>
                <w:lang w:val="en-US"/>
              </w:rPr>
            </w:pPr>
            <w:r w:rsidRPr="0842DDBE">
              <w:rPr>
                <w:rFonts w:cs="Arial"/>
                <w:lang w:val="en-US"/>
              </w:rPr>
              <w:t>Continue to develop a reporting framework which identifies performance against national and local indicators.</w:t>
            </w:r>
          </w:p>
          <w:p w14:paraId="7EE01638" w14:textId="7EBA923B" w:rsidR="00605EE9" w:rsidRDefault="00605EE9" w:rsidP="00521D0F">
            <w:pPr>
              <w:pStyle w:val="ListParagraph"/>
              <w:numPr>
                <w:ilvl w:val="0"/>
                <w:numId w:val="3"/>
              </w:numPr>
              <w:spacing w:line="256" w:lineRule="auto"/>
              <w:rPr>
                <w:rFonts w:cs="Arial"/>
                <w:lang w:val="en"/>
              </w:rPr>
            </w:pPr>
            <w:r>
              <w:rPr>
                <w:rFonts w:cs="Arial"/>
                <w:lang w:val="en"/>
              </w:rPr>
              <w:t xml:space="preserve">Continue to report data quarterly to the PAC to highlight areas of </w:t>
            </w:r>
            <w:r w:rsidR="001F06AD">
              <w:rPr>
                <w:rFonts w:cs="Arial"/>
                <w:lang w:val="en"/>
              </w:rPr>
              <w:t>exceptional</w:t>
            </w:r>
            <w:r>
              <w:rPr>
                <w:rFonts w:cs="Arial"/>
                <w:lang w:val="en"/>
              </w:rPr>
              <w:t xml:space="preserve"> performance</w:t>
            </w:r>
            <w:r w:rsidR="001F06AD">
              <w:rPr>
                <w:rFonts w:cs="Arial"/>
                <w:lang w:val="en"/>
              </w:rPr>
              <w:t xml:space="preserve"> (poor and excellent)</w:t>
            </w:r>
            <w:r>
              <w:rPr>
                <w:rFonts w:cs="Arial"/>
                <w:lang w:val="en"/>
              </w:rPr>
              <w:t>.</w:t>
            </w:r>
          </w:p>
          <w:p w14:paraId="75C16B4F" w14:textId="77777777" w:rsidR="00605EE9" w:rsidRDefault="65218404" w:rsidP="0842DDBE">
            <w:pPr>
              <w:pStyle w:val="ListParagraph"/>
              <w:numPr>
                <w:ilvl w:val="0"/>
                <w:numId w:val="3"/>
              </w:numPr>
              <w:spacing w:line="256" w:lineRule="auto"/>
              <w:rPr>
                <w:rFonts w:cs="Arial"/>
                <w:lang w:val="en-US"/>
              </w:rPr>
            </w:pPr>
            <w:r w:rsidRPr="0842DDBE">
              <w:rPr>
                <w:rFonts w:cs="Arial"/>
                <w:lang w:val="en-US"/>
              </w:rPr>
              <w:t>Continue to support operational managers by providing in depth analysis regarding areas of poor performance, such as around readmissions to hospital and falls related hospital admissions.</w:t>
            </w:r>
          </w:p>
          <w:p w14:paraId="183EB767" w14:textId="5688CCF4" w:rsidR="00605EE9" w:rsidRDefault="65218404" w:rsidP="0842DDBE">
            <w:pPr>
              <w:pStyle w:val="ListParagraph"/>
              <w:numPr>
                <w:ilvl w:val="0"/>
                <w:numId w:val="3"/>
              </w:numPr>
              <w:spacing w:line="256" w:lineRule="auto"/>
              <w:rPr>
                <w:rFonts w:cs="Arial"/>
                <w:lang w:val="en-US"/>
              </w:rPr>
            </w:pPr>
            <w:r w:rsidRPr="0842DDBE">
              <w:rPr>
                <w:rFonts w:cs="Arial"/>
                <w:lang w:val="en-US"/>
              </w:rPr>
              <w:t xml:space="preserve">Continue to ensure that data informs operational practices and improvements </w:t>
            </w:r>
            <w:proofErr w:type="gramStart"/>
            <w:r w:rsidRPr="0842DDBE">
              <w:rPr>
                <w:rFonts w:cs="Arial"/>
                <w:lang w:val="en-US"/>
              </w:rPr>
              <w:t>and also</w:t>
            </w:r>
            <w:proofErr w:type="gramEnd"/>
            <w:r w:rsidRPr="0842DDBE">
              <w:rPr>
                <w:rFonts w:cs="Arial"/>
                <w:lang w:val="en-US"/>
              </w:rPr>
              <w:t xml:space="preserve"> that operational activities and priorities are used to interpret trends shown by the data.</w:t>
            </w:r>
          </w:p>
          <w:p w14:paraId="592B9FA8" w14:textId="25CEA4A8" w:rsidR="001F06AD" w:rsidRDefault="10CE6367" w:rsidP="0842DDBE">
            <w:pPr>
              <w:pStyle w:val="ListParagraph"/>
              <w:numPr>
                <w:ilvl w:val="0"/>
                <w:numId w:val="3"/>
              </w:numPr>
              <w:spacing w:line="256" w:lineRule="auto"/>
              <w:rPr>
                <w:rFonts w:cs="Arial"/>
                <w:lang w:val="en-US"/>
              </w:rPr>
            </w:pPr>
            <w:r w:rsidRPr="0842DDBE">
              <w:rPr>
                <w:rFonts w:cs="Arial"/>
                <w:lang w:val="en-US"/>
              </w:rPr>
              <w:t xml:space="preserve">Work with operational managers to identify areas of poor performance that result in operational risk and undertake additional </w:t>
            </w:r>
            <w:r w:rsidR="00B53EED" w:rsidRPr="0842DDBE">
              <w:rPr>
                <w:rFonts w:cs="Arial"/>
                <w:lang w:val="en-US"/>
              </w:rPr>
              <w:t>analysis</w:t>
            </w:r>
            <w:r w:rsidRPr="0842DDBE">
              <w:rPr>
                <w:rFonts w:cs="Arial"/>
                <w:lang w:val="en-US"/>
              </w:rPr>
              <w:t xml:space="preserve"> as required. </w:t>
            </w:r>
          </w:p>
          <w:p w14:paraId="390EAE14" w14:textId="77777777" w:rsidR="00605EE9" w:rsidRDefault="00605EE9">
            <w:pPr>
              <w:pStyle w:val="ListParagraph"/>
              <w:spacing w:line="256" w:lineRule="auto"/>
              <w:rPr>
                <w:rFonts w:cs="Arial"/>
                <w:lang w:val="en"/>
              </w:rPr>
            </w:pPr>
          </w:p>
        </w:tc>
      </w:tr>
      <w:tr w:rsidR="00605EE9" w14:paraId="7C393A18" w14:textId="77777777" w:rsidTr="0842DDBE">
        <w:tc>
          <w:tcPr>
            <w:tcW w:w="2122" w:type="dxa"/>
            <w:tcBorders>
              <w:top w:val="single" w:sz="4" w:space="0" w:color="auto"/>
              <w:left w:val="single" w:sz="4" w:space="0" w:color="auto"/>
              <w:bottom w:val="single" w:sz="4" w:space="0" w:color="auto"/>
              <w:right w:val="single" w:sz="4" w:space="0" w:color="auto"/>
            </w:tcBorders>
            <w:hideMark/>
          </w:tcPr>
          <w:p w14:paraId="3F24EF0F" w14:textId="77777777" w:rsidR="00605EE9" w:rsidRDefault="00605EE9">
            <w:pPr>
              <w:spacing w:line="256" w:lineRule="auto"/>
              <w:jc w:val="center"/>
              <w:rPr>
                <w:rFonts w:cs="Arial"/>
                <w:b/>
              </w:rPr>
            </w:pPr>
            <w:r>
              <w:rPr>
                <w:rFonts w:cs="Arial"/>
                <w:b/>
              </w:rPr>
              <w:t>Residual Risk Level</w:t>
            </w:r>
          </w:p>
        </w:tc>
        <w:tc>
          <w:tcPr>
            <w:tcW w:w="6894" w:type="dxa"/>
            <w:tcBorders>
              <w:top w:val="single" w:sz="4" w:space="0" w:color="auto"/>
              <w:left w:val="single" w:sz="4" w:space="0" w:color="auto"/>
              <w:bottom w:val="single" w:sz="4" w:space="0" w:color="auto"/>
              <w:right w:val="single" w:sz="4" w:space="0" w:color="auto"/>
            </w:tcBorders>
          </w:tcPr>
          <w:p w14:paraId="4FE37AFD" w14:textId="5F539435" w:rsidR="001F06AD" w:rsidRDefault="001F06AD" w:rsidP="001F06AD">
            <w:pPr>
              <w:spacing w:line="256" w:lineRule="auto"/>
              <w:jc w:val="both"/>
              <w:rPr>
                <w:rFonts w:cs="Arial"/>
              </w:rPr>
            </w:pPr>
            <w:r>
              <w:rPr>
                <w:rFonts w:cs="Arial"/>
              </w:rPr>
              <w:t>Likelihood 3 x Impact 3 = Risk Scoring 9 (which is a Moderate Level)</w:t>
            </w:r>
          </w:p>
          <w:p w14:paraId="55A0285C" w14:textId="77777777" w:rsidR="00605EE9" w:rsidRDefault="00605EE9" w:rsidP="001F06AD">
            <w:pPr>
              <w:spacing w:line="256" w:lineRule="auto"/>
              <w:rPr>
                <w:rFonts w:cs="Arial"/>
              </w:rPr>
            </w:pPr>
          </w:p>
        </w:tc>
      </w:tr>
      <w:tr w:rsidR="00605EE9" w14:paraId="7DAF289B" w14:textId="77777777" w:rsidTr="0842DDBE">
        <w:tc>
          <w:tcPr>
            <w:tcW w:w="2122" w:type="dxa"/>
            <w:tcBorders>
              <w:top w:val="single" w:sz="4" w:space="0" w:color="auto"/>
              <w:left w:val="single" w:sz="4" w:space="0" w:color="auto"/>
              <w:bottom w:val="single" w:sz="4" w:space="0" w:color="auto"/>
              <w:right w:val="single" w:sz="4" w:space="0" w:color="auto"/>
            </w:tcBorders>
            <w:hideMark/>
          </w:tcPr>
          <w:p w14:paraId="3A76A168" w14:textId="77777777" w:rsidR="00605EE9" w:rsidRDefault="00605EE9">
            <w:pPr>
              <w:spacing w:line="256" w:lineRule="auto"/>
              <w:jc w:val="center"/>
              <w:rPr>
                <w:rFonts w:cs="Arial"/>
                <w:b/>
                <w:lang w:val="en"/>
              </w:rPr>
            </w:pPr>
            <w:r>
              <w:rPr>
                <w:rFonts w:cs="Arial"/>
                <w:b/>
              </w:rPr>
              <w:t>Planned Risk Level</w:t>
            </w:r>
          </w:p>
        </w:tc>
        <w:tc>
          <w:tcPr>
            <w:tcW w:w="6894" w:type="dxa"/>
            <w:tcBorders>
              <w:top w:val="single" w:sz="4" w:space="0" w:color="auto"/>
              <w:left w:val="single" w:sz="4" w:space="0" w:color="auto"/>
              <w:bottom w:val="single" w:sz="4" w:space="0" w:color="auto"/>
              <w:right w:val="single" w:sz="4" w:space="0" w:color="auto"/>
            </w:tcBorders>
          </w:tcPr>
          <w:p w14:paraId="2F4C56B1" w14:textId="1D8E5D83" w:rsidR="001F06AD" w:rsidRDefault="001F06AD" w:rsidP="001F06AD">
            <w:pPr>
              <w:spacing w:line="256" w:lineRule="auto"/>
              <w:jc w:val="both"/>
              <w:rPr>
                <w:rFonts w:cs="Arial"/>
              </w:rPr>
            </w:pPr>
            <w:r>
              <w:rPr>
                <w:rFonts w:cs="Arial"/>
              </w:rPr>
              <w:t>Likelihood 2 x Impact 3 = Risk Scoring 6 (which is a Moderate Risk Level)</w:t>
            </w:r>
          </w:p>
          <w:p w14:paraId="4656740E" w14:textId="77777777" w:rsidR="00605EE9" w:rsidRDefault="00605EE9" w:rsidP="001F06AD">
            <w:pPr>
              <w:spacing w:line="256" w:lineRule="auto"/>
              <w:rPr>
                <w:rFonts w:cs="Arial"/>
                <w:lang w:val="en"/>
              </w:rPr>
            </w:pPr>
          </w:p>
        </w:tc>
      </w:tr>
      <w:tr w:rsidR="00605EE9" w14:paraId="3372C00D" w14:textId="77777777" w:rsidTr="0842DDBE">
        <w:trPr>
          <w:trHeight w:val="276"/>
        </w:trPr>
        <w:tc>
          <w:tcPr>
            <w:tcW w:w="2122" w:type="dxa"/>
            <w:tcBorders>
              <w:top w:val="single" w:sz="4" w:space="0" w:color="auto"/>
              <w:left w:val="single" w:sz="4" w:space="0" w:color="auto"/>
              <w:bottom w:val="single" w:sz="4" w:space="0" w:color="auto"/>
              <w:right w:val="single" w:sz="4" w:space="0" w:color="auto"/>
            </w:tcBorders>
            <w:hideMark/>
          </w:tcPr>
          <w:p w14:paraId="43B5B540" w14:textId="77777777" w:rsidR="00605EE9" w:rsidRDefault="00605EE9">
            <w:pPr>
              <w:spacing w:line="256" w:lineRule="auto"/>
              <w:rPr>
                <w:rFonts w:cs="Arial"/>
                <w:b/>
              </w:rPr>
            </w:pPr>
            <w:r>
              <w:rPr>
                <w:rFonts w:cs="Arial"/>
                <w:b/>
              </w:rPr>
              <w:t>Approval recommendation</w:t>
            </w:r>
          </w:p>
        </w:tc>
        <w:tc>
          <w:tcPr>
            <w:tcW w:w="6894" w:type="dxa"/>
            <w:tcBorders>
              <w:top w:val="single" w:sz="4" w:space="0" w:color="auto"/>
              <w:left w:val="single" w:sz="4" w:space="0" w:color="auto"/>
              <w:bottom w:val="single" w:sz="4" w:space="0" w:color="auto"/>
              <w:right w:val="single" w:sz="4" w:space="0" w:color="auto"/>
            </w:tcBorders>
          </w:tcPr>
          <w:p w14:paraId="203885D3" w14:textId="1CAD7D41" w:rsidR="00605EE9" w:rsidRDefault="65218404" w:rsidP="0842DDBE">
            <w:pPr>
              <w:spacing w:line="256" w:lineRule="auto"/>
              <w:rPr>
                <w:rFonts w:cs="Arial"/>
                <w:lang w:val="en-US"/>
              </w:rPr>
            </w:pPr>
            <w:r w:rsidRPr="0842DDBE">
              <w:rPr>
                <w:rFonts w:cs="Arial"/>
                <w:lang w:val="en-US"/>
              </w:rPr>
              <w:t>Given the moderate level of planned risk, this risk is deemed to be manageable.</w:t>
            </w:r>
          </w:p>
        </w:tc>
      </w:tr>
    </w:tbl>
    <w:p w14:paraId="6763146E" w14:textId="2FD444E4" w:rsidR="00C6360C" w:rsidRDefault="00C6360C" w:rsidP="00C6360C">
      <w:pPr>
        <w:jc w:val="both"/>
      </w:pPr>
    </w:p>
    <w:p w14:paraId="7D63BB10" w14:textId="760C45A7" w:rsidR="00A348BD" w:rsidRDefault="00A348BD" w:rsidP="00C6360C">
      <w:pPr>
        <w:jc w:val="both"/>
      </w:pPr>
    </w:p>
    <w:p w14:paraId="16FCD2F0" w14:textId="6BA560FC" w:rsidR="00C6360C" w:rsidRDefault="00B64214" w:rsidP="00C6360C">
      <w:pPr>
        <w:jc w:val="both"/>
        <w:rPr>
          <w:b/>
        </w:rPr>
      </w:pPr>
      <w:r>
        <w:rPr>
          <w:b/>
        </w:rPr>
        <w:t>8</w:t>
      </w:r>
      <w:r w:rsidR="00C6360C" w:rsidRPr="00CF69AA">
        <w:rPr>
          <w:b/>
        </w:rPr>
        <w:t>.0</w:t>
      </w:r>
      <w:r w:rsidR="00C6360C" w:rsidRPr="00CF69AA">
        <w:rPr>
          <w:b/>
        </w:rPr>
        <w:tab/>
      </w:r>
      <w:r w:rsidR="00C6360C">
        <w:rPr>
          <w:b/>
        </w:rPr>
        <w:t>CONSULTATIONS</w:t>
      </w:r>
    </w:p>
    <w:p w14:paraId="7C34F556" w14:textId="77777777" w:rsidR="00B804FF" w:rsidRDefault="00B804FF" w:rsidP="00B804FF">
      <w:pPr>
        <w:jc w:val="both"/>
        <w:rPr>
          <w:b/>
        </w:rPr>
      </w:pPr>
    </w:p>
    <w:p w14:paraId="16B4CE45" w14:textId="3E177E9B" w:rsidR="00C6360C" w:rsidRDefault="00B64214" w:rsidP="00B804FF">
      <w:pPr>
        <w:ind w:left="709" w:hanging="709"/>
        <w:jc w:val="both"/>
      </w:pPr>
      <w:r>
        <w:rPr>
          <w:b/>
        </w:rPr>
        <w:t>8</w:t>
      </w:r>
      <w:r w:rsidR="00B804FF">
        <w:rPr>
          <w:b/>
        </w:rPr>
        <w:t>.1</w:t>
      </w:r>
      <w:r w:rsidR="00B804FF">
        <w:rPr>
          <w:b/>
        </w:rPr>
        <w:tab/>
      </w:r>
      <w:r w:rsidR="00C6360C">
        <w:t xml:space="preserve">The </w:t>
      </w:r>
      <w:r w:rsidR="00D87249">
        <w:t>Chief Officer</w:t>
      </w:r>
      <w:r w:rsidR="008C14DC">
        <w:t>, Head</w:t>
      </w:r>
      <w:r w:rsidR="00B451C7">
        <w:t>s</w:t>
      </w:r>
      <w:r w:rsidR="008C14DC">
        <w:t xml:space="preserve"> of Service, Health and Community Care</w:t>
      </w:r>
      <w:r w:rsidR="00C6360C">
        <w:t xml:space="preserve"> and the Clerk were consulted in the preparation of this report.</w:t>
      </w:r>
    </w:p>
    <w:p w14:paraId="3159E171" w14:textId="77777777" w:rsidR="00EC3A77" w:rsidRDefault="00EC3A77" w:rsidP="00B804FF">
      <w:pPr>
        <w:ind w:left="709" w:hanging="709"/>
        <w:jc w:val="both"/>
      </w:pPr>
    </w:p>
    <w:p w14:paraId="602A849D" w14:textId="52F9BA4A" w:rsidR="00C6360C" w:rsidRDefault="000B2248" w:rsidP="005317B2">
      <w:pPr>
        <w:spacing w:after="160" w:line="259" w:lineRule="auto"/>
        <w:rPr>
          <w:b/>
          <w:bCs/>
        </w:rPr>
      </w:pPr>
      <w:r>
        <w:rPr>
          <w:b/>
          <w:bCs/>
        </w:rPr>
        <w:t>9</w:t>
      </w:r>
      <w:r w:rsidR="00C6360C">
        <w:rPr>
          <w:b/>
          <w:bCs/>
        </w:rPr>
        <w:t>.0</w:t>
      </w:r>
      <w:r w:rsidR="00C6360C">
        <w:rPr>
          <w:b/>
          <w:bCs/>
        </w:rPr>
        <w:tab/>
        <w:t>BACKGROUND PAPERS</w:t>
      </w:r>
    </w:p>
    <w:p w14:paraId="5A2E6FB2" w14:textId="77777777" w:rsidR="00C6360C" w:rsidRDefault="00C6360C" w:rsidP="00C6360C">
      <w:pPr>
        <w:jc w:val="both"/>
        <w:rPr>
          <w:bCs/>
        </w:rPr>
      </w:pPr>
    </w:p>
    <w:p w14:paraId="427FF8C0" w14:textId="18D02943" w:rsidR="00C6360C" w:rsidRDefault="000B2248" w:rsidP="00B804FF">
      <w:pPr>
        <w:pStyle w:val="BodyText"/>
        <w:spacing w:after="0"/>
        <w:jc w:val="both"/>
        <w:rPr>
          <w:bCs/>
        </w:rPr>
      </w:pPr>
      <w:r>
        <w:rPr>
          <w:bCs/>
        </w:rPr>
        <w:t>9</w:t>
      </w:r>
      <w:r w:rsidR="00B804FF">
        <w:rPr>
          <w:bCs/>
        </w:rPr>
        <w:t>.1</w:t>
      </w:r>
      <w:r w:rsidR="00B804FF">
        <w:rPr>
          <w:bCs/>
        </w:rPr>
        <w:tab/>
      </w:r>
      <w:r w:rsidR="00C6360C">
        <w:rPr>
          <w:bCs/>
        </w:rPr>
        <w:t>None.</w:t>
      </w:r>
    </w:p>
    <w:p w14:paraId="4276A59B" w14:textId="77777777" w:rsidR="00D850F2" w:rsidRDefault="00D850F2" w:rsidP="00B804FF">
      <w:pPr>
        <w:pStyle w:val="BodyText"/>
        <w:spacing w:after="0"/>
        <w:jc w:val="both"/>
        <w:rPr>
          <w:bCs/>
        </w:rPr>
      </w:pPr>
    </w:p>
    <w:p w14:paraId="2FD698E3" w14:textId="77777777" w:rsidR="00D850F2" w:rsidRDefault="00D850F2" w:rsidP="00B804FF">
      <w:pPr>
        <w:pStyle w:val="BodyText"/>
        <w:spacing w:after="0"/>
        <w:jc w:val="both"/>
        <w:rPr>
          <w:bCs/>
        </w:rPr>
      </w:pPr>
    </w:p>
    <w:p w14:paraId="56B4096A" w14:textId="77777777" w:rsidR="00D850F2" w:rsidRDefault="00D850F2" w:rsidP="00B804FF">
      <w:pPr>
        <w:pStyle w:val="BodyText"/>
        <w:spacing w:after="0"/>
        <w:jc w:val="both"/>
        <w:rPr>
          <w:bCs/>
        </w:rPr>
      </w:pPr>
    </w:p>
    <w:tbl>
      <w:tblPr>
        <w:tblW w:w="9287" w:type="dxa"/>
        <w:tblLayout w:type="fixed"/>
        <w:tblLook w:val="0000" w:firstRow="0" w:lastRow="0" w:firstColumn="0" w:lastColumn="0" w:noHBand="0" w:noVBand="0"/>
      </w:tblPr>
      <w:tblGrid>
        <w:gridCol w:w="6633"/>
        <w:gridCol w:w="2654"/>
      </w:tblGrid>
      <w:tr w:rsidR="00C6360C" w14:paraId="1394507E" w14:textId="77777777" w:rsidTr="6CB3F99A">
        <w:trPr>
          <w:cantSplit/>
          <w:trHeight w:val="80"/>
        </w:trPr>
        <w:tc>
          <w:tcPr>
            <w:tcW w:w="6633" w:type="dxa"/>
          </w:tcPr>
          <w:p w14:paraId="53DA1640" w14:textId="3B2B8592" w:rsidR="00C6360C" w:rsidRPr="00B3504A" w:rsidRDefault="00FC60E1" w:rsidP="000B53CF">
            <w:pPr>
              <w:pStyle w:val="Header"/>
              <w:jc w:val="both"/>
              <w:rPr>
                <w:bCs/>
              </w:rPr>
            </w:pPr>
            <w:r>
              <w:rPr>
                <w:bCs/>
              </w:rPr>
              <w:t>Christine Jones</w:t>
            </w:r>
          </w:p>
          <w:p w14:paraId="021D7B4D" w14:textId="59EA6026" w:rsidR="00C6360C" w:rsidRDefault="00FC60E1" w:rsidP="000B53CF">
            <w:pPr>
              <w:pStyle w:val="Header"/>
              <w:jc w:val="both"/>
              <w:rPr>
                <w:bCs/>
              </w:rPr>
            </w:pPr>
            <w:r>
              <w:rPr>
                <w:bCs/>
              </w:rPr>
              <w:t xml:space="preserve">Acting </w:t>
            </w:r>
            <w:r w:rsidR="00C6360C" w:rsidRPr="00D325FD">
              <w:rPr>
                <w:bCs/>
              </w:rPr>
              <w:t>Chief Finance Officer</w:t>
            </w:r>
          </w:p>
          <w:p w14:paraId="400FE508" w14:textId="77777777" w:rsidR="00C6360C" w:rsidRDefault="00C6360C" w:rsidP="000B53CF">
            <w:pPr>
              <w:pStyle w:val="Header"/>
              <w:jc w:val="both"/>
              <w:rPr>
                <w:bCs/>
              </w:rPr>
            </w:pPr>
          </w:p>
          <w:p w14:paraId="3CD23641" w14:textId="77777777" w:rsidR="00790CAE" w:rsidRDefault="00582994" w:rsidP="000B53CF">
            <w:pPr>
              <w:pStyle w:val="Header"/>
              <w:jc w:val="both"/>
              <w:rPr>
                <w:bCs/>
              </w:rPr>
            </w:pPr>
            <w:r>
              <w:rPr>
                <w:bCs/>
              </w:rPr>
              <w:t>Lynsey Webster</w:t>
            </w:r>
          </w:p>
          <w:p w14:paraId="1F14E1ED" w14:textId="006EFF00" w:rsidR="00B356BD" w:rsidRPr="00D325FD" w:rsidRDefault="009C36C5" w:rsidP="000B53CF">
            <w:pPr>
              <w:pStyle w:val="Header"/>
              <w:jc w:val="both"/>
            </w:pPr>
            <w:r>
              <w:rPr>
                <w:bCs/>
              </w:rPr>
              <w:t>Lead Officer</w:t>
            </w:r>
            <w:r w:rsidR="00582994">
              <w:rPr>
                <w:bCs/>
              </w:rPr>
              <w:t xml:space="preserve">, </w:t>
            </w:r>
            <w:r>
              <w:rPr>
                <w:bCs/>
              </w:rPr>
              <w:t>Quality, Data and Intelligence</w:t>
            </w:r>
          </w:p>
          <w:p w14:paraId="0FB5E07F" w14:textId="5758E804" w:rsidR="00B356BD" w:rsidRPr="00D325FD" w:rsidRDefault="00B356BD" w:rsidP="000B53CF">
            <w:pPr>
              <w:pStyle w:val="Header"/>
              <w:jc w:val="both"/>
            </w:pPr>
          </w:p>
          <w:p w14:paraId="5B704AA0" w14:textId="4EF0E2AA" w:rsidR="00B356BD" w:rsidRPr="00D325FD" w:rsidRDefault="0520995C" w:rsidP="000B53CF">
            <w:pPr>
              <w:pStyle w:val="Header"/>
              <w:jc w:val="both"/>
            </w:pPr>
            <w:r>
              <w:t>Shahida Naeem</w:t>
            </w:r>
          </w:p>
          <w:p w14:paraId="750DDBA2" w14:textId="04F3D1DC" w:rsidR="00B356BD" w:rsidRPr="00D325FD" w:rsidRDefault="0520995C" w:rsidP="000B53CF">
            <w:pPr>
              <w:pStyle w:val="Header"/>
              <w:jc w:val="both"/>
            </w:pPr>
            <w:r>
              <w:t xml:space="preserve">Senior Officer, </w:t>
            </w:r>
            <w:r w:rsidR="009C36C5">
              <w:t>Data and Intelligence</w:t>
            </w:r>
          </w:p>
          <w:p w14:paraId="4C5E425F" w14:textId="27FB6EED" w:rsidR="00B356BD" w:rsidRPr="00D325FD" w:rsidRDefault="00B356BD" w:rsidP="000B53CF">
            <w:pPr>
              <w:pStyle w:val="Header"/>
              <w:jc w:val="both"/>
            </w:pPr>
          </w:p>
          <w:p w14:paraId="5F5603DA" w14:textId="4347A3C5" w:rsidR="00B356BD" w:rsidRPr="00D325FD" w:rsidRDefault="0520995C" w:rsidP="000B53CF">
            <w:pPr>
              <w:pStyle w:val="Header"/>
              <w:jc w:val="both"/>
            </w:pPr>
            <w:r>
              <w:t>Lisa Traynor</w:t>
            </w:r>
          </w:p>
          <w:p w14:paraId="67783DFE" w14:textId="05A034F2" w:rsidR="00B356BD" w:rsidRPr="00D325FD" w:rsidRDefault="0520995C" w:rsidP="000B53CF">
            <w:pPr>
              <w:pStyle w:val="Header"/>
              <w:jc w:val="both"/>
              <w:rPr>
                <w:bCs/>
              </w:rPr>
            </w:pPr>
            <w:r>
              <w:t>Assistant</w:t>
            </w:r>
            <w:r w:rsidR="0063435B">
              <w:t xml:space="preserve">, </w:t>
            </w:r>
            <w:r w:rsidR="0063435B">
              <w:rPr>
                <w:bCs/>
              </w:rPr>
              <w:t>Quality, Data and Intelligence</w:t>
            </w:r>
          </w:p>
        </w:tc>
        <w:tc>
          <w:tcPr>
            <w:tcW w:w="2654" w:type="dxa"/>
          </w:tcPr>
          <w:p w14:paraId="0AEF2613" w14:textId="5AC4EF52" w:rsidR="00C6360C" w:rsidRDefault="00C6360C" w:rsidP="6CB3F99A">
            <w:pPr>
              <w:jc w:val="both"/>
            </w:pPr>
            <w:r w:rsidRPr="6CB3F99A">
              <w:rPr>
                <w:b/>
                <w:bCs/>
              </w:rPr>
              <w:t>DATE</w:t>
            </w:r>
            <w:r w:rsidRPr="00E01D52">
              <w:t xml:space="preserve">: </w:t>
            </w:r>
            <w:r w:rsidR="00A170C8">
              <w:t>28 August</w:t>
            </w:r>
            <w:r w:rsidR="00E01D52" w:rsidRPr="00E01D52">
              <w:t xml:space="preserve"> 2024</w:t>
            </w:r>
          </w:p>
        </w:tc>
      </w:tr>
    </w:tbl>
    <w:p w14:paraId="68737746" w14:textId="1A047DEF" w:rsidR="00D15AE4" w:rsidRPr="002E267C" w:rsidRDefault="00125124" w:rsidP="00503CF7">
      <w:pPr>
        <w:spacing w:after="160" w:line="259" w:lineRule="auto"/>
        <w:rPr>
          <w:rFonts w:cs="Arial"/>
          <w:b/>
          <w:sz w:val="22"/>
          <w:szCs w:val="22"/>
        </w:rPr>
      </w:pPr>
      <w:bookmarkStart w:id="1" w:name="_Toc463117997"/>
      <w:bookmarkStart w:id="2" w:name="_Toc463435297"/>
      <w:r>
        <w:rPr>
          <w:rFonts w:cs="Arial"/>
          <w:b/>
          <w:sz w:val="22"/>
          <w:szCs w:val="22"/>
        </w:rPr>
        <w:br w:type="page"/>
      </w:r>
      <w:r w:rsidR="00E721FC" w:rsidRPr="002E267C">
        <w:rPr>
          <w:rFonts w:cs="Arial"/>
          <w:b/>
          <w:sz w:val="22"/>
          <w:szCs w:val="22"/>
        </w:rPr>
        <w:t>APPENDIX 1</w:t>
      </w:r>
      <w:r w:rsidR="000072A4" w:rsidRPr="002E267C">
        <w:rPr>
          <w:rFonts w:cs="Arial"/>
          <w:b/>
          <w:sz w:val="22"/>
          <w:szCs w:val="22"/>
        </w:rPr>
        <w:t xml:space="preserve"> – Performance Summary</w:t>
      </w:r>
    </w:p>
    <w:p w14:paraId="76FEB035" w14:textId="0CF5BF66" w:rsidR="00D15AE4" w:rsidRDefault="00D15AE4" w:rsidP="00BD210A">
      <w:pPr>
        <w:spacing w:after="160" w:line="259" w:lineRule="auto"/>
      </w:pPr>
      <w:r w:rsidRPr="6CB3F99A">
        <w:rPr>
          <w:rFonts w:cs="Arial"/>
          <w:b/>
          <w:bCs/>
          <w:sz w:val="22"/>
          <w:szCs w:val="22"/>
        </w:rPr>
        <w:t xml:space="preserve">Table </w:t>
      </w:r>
      <w:r w:rsidR="003016A7" w:rsidRPr="6CB3F99A">
        <w:rPr>
          <w:rFonts w:cs="Arial"/>
          <w:b/>
          <w:bCs/>
          <w:sz w:val="22"/>
          <w:szCs w:val="22"/>
        </w:rPr>
        <w:t>1</w:t>
      </w:r>
      <w:r w:rsidRPr="6CB3F99A">
        <w:rPr>
          <w:rFonts w:cs="Arial"/>
          <w:b/>
          <w:bCs/>
          <w:sz w:val="22"/>
          <w:szCs w:val="22"/>
        </w:rPr>
        <w:t xml:space="preserve">: Performance in Dundee’s LCPPs - % change in </w:t>
      </w:r>
      <w:r w:rsidRPr="6CB3F99A">
        <w:rPr>
          <w:rFonts w:cs="Arial"/>
          <w:b/>
          <w:bCs/>
          <w:sz w:val="22"/>
          <w:szCs w:val="22"/>
          <w:lang w:val="en-US"/>
        </w:rPr>
        <w:t>Q</w:t>
      </w:r>
      <w:r w:rsidR="00D85CC7">
        <w:rPr>
          <w:rFonts w:cs="Arial"/>
          <w:b/>
          <w:bCs/>
          <w:sz w:val="22"/>
          <w:szCs w:val="22"/>
          <w:lang w:val="en-US"/>
        </w:rPr>
        <w:t>4</w:t>
      </w:r>
      <w:r w:rsidR="5F95CD67" w:rsidRPr="6CB3F99A">
        <w:rPr>
          <w:rFonts w:cs="Arial"/>
          <w:b/>
          <w:bCs/>
          <w:sz w:val="22"/>
          <w:szCs w:val="22"/>
          <w:lang w:val="en-US"/>
        </w:rPr>
        <w:t xml:space="preserve"> </w:t>
      </w:r>
      <w:r w:rsidRPr="6CB3F99A">
        <w:rPr>
          <w:rFonts w:cs="Arial"/>
          <w:b/>
          <w:bCs/>
          <w:sz w:val="22"/>
          <w:szCs w:val="22"/>
          <w:lang w:val="en-US"/>
        </w:rPr>
        <w:t>202</w:t>
      </w:r>
      <w:r w:rsidR="00BD210A" w:rsidRPr="6CB3F99A">
        <w:rPr>
          <w:rFonts w:cs="Arial"/>
          <w:b/>
          <w:bCs/>
          <w:sz w:val="22"/>
          <w:szCs w:val="22"/>
          <w:lang w:val="en-US"/>
        </w:rPr>
        <w:t>3-24</w:t>
      </w:r>
      <w:r w:rsidRPr="6CB3F99A">
        <w:rPr>
          <w:rFonts w:cs="Arial"/>
          <w:b/>
          <w:bCs/>
          <w:sz w:val="22"/>
          <w:szCs w:val="22"/>
        </w:rPr>
        <w:t xml:space="preserve"> against baseline year 201</w:t>
      </w:r>
      <w:r w:rsidR="00BD210A" w:rsidRPr="6CB3F99A">
        <w:rPr>
          <w:rFonts w:cs="Arial"/>
          <w:b/>
          <w:bCs/>
          <w:sz w:val="22"/>
          <w:szCs w:val="22"/>
        </w:rPr>
        <w:t>8</w:t>
      </w:r>
      <w:r w:rsidR="000C2F6F">
        <w:rPr>
          <w:rFonts w:cs="Arial"/>
          <w:b/>
          <w:bCs/>
          <w:sz w:val="22"/>
          <w:szCs w:val="22"/>
        </w:rPr>
        <w:t>-</w:t>
      </w:r>
      <w:r w:rsidR="00BD210A" w:rsidRPr="6CB3F99A">
        <w:rPr>
          <w:rFonts w:cs="Arial"/>
          <w:b/>
          <w:bCs/>
          <w:sz w:val="22"/>
          <w:szCs w:val="22"/>
        </w:rPr>
        <w:t>19</w:t>
      </w:r>
    </w:p>
    <w:p w14:paraId="23BAC6DC" w14:textId="1683F8DE" w:rsidR="00D15AE4" w:rsidRDefault="00F71901" w:rsidP="00D15AE4">
      <w:pPr>
        <w:rPr>
          <w:b/>
          <w:color w:val="000000"/>
        </w:rPr>
      </w:pPr>
      <w:r>
        <w:rPr>
          <w:noProof/>
          <w:color w:val="000000"/>
          <w:lang w:eastAsia="en-GB"/>
        </w:rPr>
        <mc:AlternateContent>
          <mc:Choice Requires="wps">
            <w:drawing>
              <wp:anchor distT="0" distB="0" distL="114300" distR="114300" simplePos="0" relativeHeight="251658241" behindDoc="0" locked="0" layoutInCell="1" allowOverlap="1" wp14:anchorId="50FF966B" wp14:editId="080A8459">
                <wp:simplePos x="0" y="0"/>
                <wp:positionH relativeFrom="column">
                  <wp:posOffset>1470660</wp:posOffset>
                </wp:positionH>
                <wp:positionV relativeFrom="paragraph">
                  <wp:posOffset>7620</wp:posOffset>
                </wp:positionV>
                <wp:extent cx="4829175" cy="485775"/>
                <wp:effectExtent l="19050" t="19050" r="9525" b="28575"/>
                <wp:wrapNone/>
                <wp:docPr id="11" name="Lef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9175" cy="485775"/>
                        </a:xfrm>
                        <a:prstGeom prst="leftArrow">
                          <a:avLst/>
                        </a:prstGeom>
                        <a:gradFill flip="none" rotWithShape="1">
                          <a:gsLst>
                            <a:gs pos="0">
                              <a:srgbClr val="FF0000"/>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09CAE2F5" w14:textId="77777777" w:rsidR="00CF6751" w:rsidRPr="008814BA" w:rsidRDefault="00CF6751" w:rsidP="00D15AE4">
                            <w:pPr>
                              <w:rPr>
                                <w:color w:val="002060"/>
                              </w:rPr>
                            </w:pPr>
                            <w:r w:rsidRPr="000E2F9A">
                              <w:rPr>
                                <w:b/>
                                <w:color w:val="002060"/>
                              </w:rPr>
                              <w:t xml:space="preserve">Most Deprived                                </w:t>
                            </w:r>
                            <w:r>
                              <w:rPr>
                                <w:b/>
                                <w:color w:val="002060"/>
                              </w:rPr>
                              <w:t xml:space="preserve">                                                </w:t>
                            </w:r>
                            <w:r w:rsidRPr="000E2F9A">
                              <w:rPr>
                                <w:b/>
                                <w:color w:val="002060"/>
                              </w:rPr>
                              <w:t xml:space="preserve">    </w:t>
                            </w:r>
                            <w:r>
                              <w:rPr>
                                <w:b/>
                                <w:color w:val="002060"/>
                              </w:rPr>
                              <w:t>Least Deprived</w:t>
                            </w:r>
                            <w:r w:rsidRPr="000E2F9A">
                              <w:rPr>
                                <w:b/>
                                <w:color w:val="002060"/>
                              </w:rPr>
                              <w:t xml:space="preserve">                                                </w:t>
                            </w:r>
                            <w:r>
                              <w:rPr>
                                <w:b/>
                                <w:color w:val="002060"/>
                              </w:rPr>
                              <w:t xml:space="preserve">      </w:t>
                            </w:r>
                            <w:r w:rsidRPr="000E2F9A">
                              <w:rPr>
                                <w:b/>
                                <w:color w:val="002060"/>
                              </w:rPr>
                              <w:t xml:space="preserve">          LeastDeprived</w:t>
                            </w:r>
                          </w:p>
                          <w:p w14:paraId="47719616" w14:textId="77777777" w:rsidR="00CF6751" w:rsidRPr="000E2F9A" w:rsidRDefault="00CF6751" w:rsidP="00D15A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F966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1" o:spid="_x0000_s1026" type="#_x0000_t66" style="position:absolute;margin-left:115.8pt;margin-top:.6pt;width:380.25pt;height:3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" adj="1086" fillcolor="red" strokecolor="#1f4d78 [1604]" strokeweight="1pt">
                <v:fill color2="#cde0f2 [980]" rotate="t" angle="90" colors="0 red;48497f #b5d2ec;54395f #b5d2ec;1 #cee1f2" focus="100%" type="gradient"/>
                <v:path arrowok="t"/>
                <v:textbox>
                  <w:txbxContent>
                    <w:p w14:paraId="09CAE2F5" w14:textId="77777777" w:rsidR="00CF6751" w:rsidRPr="008814BA" w:rsidRDefault="00CF6751" w:rsidP="00D15AE4">
                      <w:pPr>
                        <w:rPr>
                          <w:color w:val="002060"/>
                        </w:rPr>
                      </w:pPr>
                      <w:r w:rsidRPr="000E2F9A">
                        <w:rPr>
                          <w:b/>
                          <w:color w:val="002060"/>
                        </w:rPr>
                        <w:t xml:space="preserve">Most Deprived                                </w:t>
                      </w:r>
                      <w:r>
                        <w:rPr>
                          <w:b/>
                          <w:color w:val="002060"/>
                        </w:rPr>
                        <w:t xml:space="preserve">                                                </w:t>
                      </w:r>
                      <w:r w:rsidRPr="000E2F9A">
                        <w:rPr>
                          <w:b/>
                          <w:color w:val="002060"/>
                        </w:rPr>
                        <w:t xml:space="preserve">    </w:t>
                      </w:r>
                      <w:r>
                        <w:rPr>
                          <w:b/>
                          <w:color w:val="002060"/>
                        </w:rPr>
                        <w:t>Least Deprived</w:t>
                      </w:r>
                      <w:r w:rsidRPr="000E2F9A">
                        <w:rPr>
                          <w:b/>
                          <w:color w:val="002060"/>
                        </w:rPr>
                        <w:t xml:space="preserve">                                                </w:t>
                      </w:r>
                      <w:r>
                        <w:rPr>
                          <w:b/>
                          <w:color w:val="002060"/>
                        </w:rPr>
                        <w:t xml:space="preserve">      </w:t>
                      </w:r>
                      <w:r w:rsidRPr="000E2F9A">
                        <w:rPr>
                          <w:b/>
                          <w:color w:val="002060"/>
                        </w:rPr>
                        <w:t xml:space="preserve">          LeastDeprived</w:t>
                      </w:r>
                    </w:p>
                    <w:p w14:paraId="47719616" w14:textId="77777777" w:rsidR="00CF6751" w:rsidRPr="000E2F9A" w:rsidRDefault="00CF6751" w:rsidP="00D15AE4">
                      <w:pPr>
                        <w:jc w:val="center"/>
                      </w:pPr>
                    </w:p>
                  </w:txbxContent>
                </v:textbox>
              </v:shape>
            </w:pict>
          </mc:Fallback>
        </mc:AlternateContent>
      </w:r>
    </w:p>
    <w:p w14:paraId="4F6BA516" w14:textId="77777777" w:rsidR="00D15AE4" w:rsidRDefault="00D15AE4" w:rsidP="00D15AE4">
      <w:pPr>
        <w:rPr>
          <w:b/>
          <w:color w:val="000000"/>
        </w:rPr>
      </w:pPr>
    </w:p>
    <w:p w14:paraId="6FA91B8D" w14:textId="77777777" w:rsidR="00D15AE4" w:rsidRDefault="00D15AE4" w:rsidP="00D15AE4">
      <w:pPr>
        <w:rPr>
          <w:b/>
          <w:color w:val="000000"/>
        </w:rPr>
      </w:pPr>
    </w:p>
    <w:p w14:paraId="4592D2E7" w14:textId="77777777" w:rsidR="00D15AE4" w:rsidRPr="00355EB9" w:rsidRDefault="00D15AE4" w:rsidP="00D15AE4">
      <w:pPr>
        <w:rPr>
          <w:b/>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2"/>
        <w:gridCol w:w="992"/>
        <w:gridCol w:w="998"/>
        <w:gridCol w:w="1134"/>
        <w:gridCol w:w="987"/>
        <w:gridCol w:w="992"/>
        <w:gridCol w:w="856"/>
        <w:gridCol w:w="992"/>
        <w:gridCol w:w="992"/>
      </w:tblGrid>
      <w:tr w:rsidR="00D15AE4" w14:paraId="70A0A7ED" w14:textId="77777777" w:rsidTr="00503CF7">
        <w:trPr>
          <w:jc w:val="center"/>
        </w:trPr>
        <w:tc>
          <w:tcPr>
            <w:tcW w:w="2122" w:type="dxa"/>
          </w:tcPr>
          <w:p w14:paraId="2CB1CA4D" w14:textId="77777777" w:rsidR="00D15AE4" w:rsidRPr="00BD7730" w:rsidRDefault="00D15AE4" w:rsidP="001A0E69">
            <w:pPr>
              <w:tabs>
                <w:tab w:val="center" w:pos="4153"/>
                <w:tab w:val="right" w:pos="8306"/>
              </w:tabs>
              <w:jc w:val="both"/>
              <w:rPr>
                <w:b/>
                <w:color w:val="000000"/>
              </w:rPr>
            </w:pPr>
            <w:r w:rsidRPr="00BD7730">
              <w:rPr>
                <w:b/>
                <w:color w:val="000000"/>
              </w:rPr>
              <w:t xml:space="preserve">National </w:t>
            </w:r>
          </w:p>
          <w:p w14:paraId="3BAAB268" w14:textId="77777777" w:rsidR="00D15AE4" w:rsidRPr="00BD7730" w:rsidRDefault="00D15AE4" w:rsidP="001A0E69">
            <w:pPr>
              <w:tabs>
                <w:tab w:val="center" w:pos="4153"/>
                <w:tab w:val="right" w:pos="8306"/>
              </w:tabs>
              <w:jc w:val="both"/>
              <w:rPr>
                <w:b/>
                <w:color w:val="000000"/>
              </w:rPr>
            </w:pPr>
            <w:r w:rsidRPr="00BD7730">
              <w:rPr>
                <w:b/>
                <w:color w:val="000000"/>
              </w:rPr>
              <w:t>Indicator</w:t>
            </w:r>
          </w:p>
        </w:tc>
        <w:tc>
          <w:tcPr>
            <w:tcW w:w="992" w:type="dxa"/>
          </w:tcPr>
          <w:p w14:paraId="1E8B0FBB" w14:textId="77777777" w:rsidR="00D15AE4" w:rsidRPr="00BD7730" w:rsidRDefault="00D15AE4" w:rsidP="001A0E69">
            <w:pPr>
              <w:tabs>
                <w:tab w:val="center" w:pos="4153"/>
                <w:tab w:val="right" w:pos="8306"/>
              </w:tabs>
              <w:jc w:val="both"/>
              <w:rPr>
                <w:b/>
                <w:color w:val="000000"/>
              </w:rPr>
            </w:pPr>
            <w:r w:rsidRPr="00BD7730">
              <w:rPr>
                <w:b/>
                <w:color w:val="000000"/>
              </w:rPr>
              <w:t>Dundee</w:t>
            </w:r>
          </w:p>
        </w:tc>
        <w:tc>
          <w:tcPr>
            <w:tcW w:w="992" w:type="dxa"/>
          </w:tcPr>
          <w:p w14:paraId="57E74B81" w14:textId="77777777" w:rsidR="00D15AE4" w:rsidRPr="00BD7730" w:rsidRDefault="00D15AE4" w:rsidP="001A0E69">
            <w:pPr>
              <w:tabs>
                <w:tab w:val="center" w:pos="4153"/>
                <w:tab w:val="right" w:pos="8306"/>
              </w:tabs>
              <w:jc w:val="both"/>
              <w:rPr>
                <w:b/>
                <w:color w:val="000000"/>
              </w:rPr>
            </w:pPr>
            <w:proofErr w:type="spellStart"/>
            <w:r w:rsidRPr="00BD7730">
              <w:rPr>
                <w:b/>
                <w:color w:val="000000"/>
              </w:rPr>
              <w:t>Lochee</w:t>
            </w:r>
            <w:proofErr w:type="spellEnd"/>
          </w:p>
        </w:tc>
        <w:tc>
          <w:tcPr>
            <w:tcW w:w="998" w:type="dxa"/>
            <w:tcBorders>
              <w:bottom w:val="single" w:sz="4" w:space="0" w:color="auto"/>
            </w:tcBorders>
          </w:tcPr>
          <w:p w14:paraId="5F487425" w14:textId="77777777" w:rsidR="00D15AE4" w:rsidRPr="00BD7730" w:rsidRDefault="00D15AE4" w:rsidP="001A0E69">
            <w:pPr>
              <w:tabs>
                <w:tab w:val="center" w:pos="4153"/>
                <w:tab w:val="right" w:pos="8306"/>
              </w:tabs>
              <w:jc w:val="both"/>
              <w:rPr>
                <w:b/>
                <w:color w:val="000000"/>
              </w:rPr>
            </w:pPr>
            <w:r w:rsidRPr="00BD7730">
              <w:rPr>
                <w:b/>
                <w:color w:val="000000"/>
              </w:rPr>
              <w:t>East End</w:t>
            </w:r>
          </w:p>
        </w:tc>
        <w:tc>
          <w:tcPr>
            <w:tcW w:w="1134" w:type="dxa"/>
            <w:tcBorders>
              <w:bottom w:val="single" w:sz="4" w:space="0" w:color="auto"/>
            </w:tcBorders>
          </w:tcPr>
          <w:p w14:paraId="799C98F0" w14:textId="77777777" w:rsidR="00D15AE4" w:rsidRPr="00BD7730" w:rsidRDefault="00D15AE4" w:rsidP="001A0E69">
            <w:pPr>
              <w:tabs>
                <w:tab w:val="center" w:pos="4153"/>
                <w:tab w:val="right" w:pos="8306"/>
              </w:tabs>
              <w:jc w:val="both"/>
              <w:rPr>
                <w:b/>
                <w:color w:val="000000"/>
              </w:rPr>
            </w:pPr>
            <w:proofErr w:type="spellStart"/>
            <w:r w:rsidRPr="00BD7730">
              <w:rPr>
                <w:b/>
                <w:color w:val="000000"/>
              </w:rPr>
              <w:t>Coldside</w:t>
            </w:r>
            <w:proofErr w:type="spellEnd"/>
          </w:p>
        </w:tc>
        <w:tc>
          <w:tcPr>
            <w:tcW w:w="987" w:type="dxa"/>
            <w:tcBorders>
              <w:bottom w:val="single" w:sz="4" w:space="0" w:color="auto"/>
            </w:tcBorders>
          </w:tcPr>
          <w:p w14:paraId="07A425CE" w14:textId="77777777" w:rsidR="00D15AE4" w:rsidRPr="00BD7730" w:rsidRDefault="00D15AE4" w:rsidP="001A0E69">
            <w:pPr>
              <w:tabs>
                <w:tab w:val="center" w:pos="4153"/>
                <w:tab w:val="right" w:pos="8306"/>
              </w:tabs>
              <w:jc w:val="both"/>
              <w:rPr>
                <w:b/>
                <w:color w:val="000000"/>
              </w:rPr>
            </w:pPr>
            <w:proofErr w:type="gramStart"/>
            <w:r w:rsidRPr="00BD7730">
              <w:rPr>
                <w:b/>
                <w:color w:val="000000"/>
              </w:rPr>
              <w:t>North East</w:t>
            </w:r>
            <w:proofErr w:type="gramEnd"/>
          </w:p>
        </w:tc>
        <w:tc>
          <w:tcPr>
            <w:tcW w:w="992" w:type="dxa"/>
            <w:tcBorders>
              <w:bottom w:val="single" w:sz="4" w:space="0" w:color="auto"/>
            </w:tcBorders>
          </w:tcPr>
          <w:p w14:paraId="3F4AF1A1" w14:textId="77777777" w:rsidR="00D15AE4" w:rsidRPr="00BD7730" w:rsidRDefault="00D15AE4" w:rsidP="001A0E69">
            <w:pPr>
              <w:tabs>
                <w:tab w:val="center" w:pos="4153"/>
                <w:tab w:val="right" w:pos="8306"/>
              </w:tabs>
              <w:jc w:val="both"/>
              <w:rPr>
                <w:b/>
                <w:color w:val="000000"/>
              </w:rPr>
            </w:pPr>
            <w:proofErr w:type="spellStart"/>
            <w:r w:rsidRPr="00BD7730">
              <w:rPr>
                <w:b/>
                <w:color w:val="000000"/>
              </w:rPr>
              <w:t>Strathmartine</w:t>
            </w:r>
            <w:proofErr w:type="spellEnd"/>
          </w:p>
        </w:tc>
        <w:tc>
          <w:tcPr>
            <w:tcW w:w="856" w:type="dxa"/>
            <w:tcBorders>
              <w:bottom w:val="single" w:sz="4" w:space="0" w:color="auto"/>
            </w:tcBorders>
          </w:tcPr>
          <w:p w14:paraId="39248442" w14:textId="77777777" w:rsidR="00D15AE4" w:rsidRPr="00BD7730" w:rsidRDefault="00D15AE4" w:rsidP="001A0E69">
            <w:pPr>
              <w:tabs>
                <w:tab w:val="center" w:pos="4153"/>
                <w:tab w:val="right" w:pos="8306"/>
              </w:tabs>
              <w:jc w:val="both"/>
              <w:rPr>
                <w:b/>
                <w:color w:val="000000"/>
              </w:rPr>
            </w:pPr>
            <w:r w:rsidRPr="00BD7730">
              <w:rPr>
                <w:b/>
                <w:color w:val="000000"/>
              </w:rPr>
              <w:t>Mary field</w:t>
            </w:r>
          </w:p>
        </w:tc>
        <w:tc>
          <w:tcPr>
            <w:tcW w:w="992" w:type="dxa"/>
            <w:tcBorders>
              <w:bottom w:val="single" w:sz="4" w:space="0" w:color="auto"/>
            </w:tcBorders>
          </w:tcPr>
          <w:p w14:paraId="48F2987D" w14:textId="77777777" w:rsidR="00D15AE4" w:rsidRPr="00BD7730" w:rsidRDefault="00D15AE4" w:rsidP="001A0E69">
            <w:pPr>
              <w:tabs>
                <w:tab w:val="center" w:pos="4153"/>
                <w:tab w:val="right" w:pos="8306"/>
              </w:tabs>
              <w:jc w:val="both"/>
              <w:rPr>
                <w:b/>
                <w:color w:val="000000"/>
              </w:rPr>
            </w:pPr>
            <w:r w:rsidRPr="00BD7730">
              <w:rPr>
                <w:b/>
                <w:color w:val="000000"/>
              </w:rPr>
              <w:t>West End</w:t>
            </w:r>
          </w:p>
        </w:tc>
        <w:tc>
          <w:tcPr>
            <w:tcW w:w="992" w:type="dxa"/>
            <w:tcBorders>
              <w:bottom w:val="single" w:sz="4" w:space="0" w:color="auto"/>
            </w:tcBorders>
          </w:tcPr>
          <w:p w14:paraId="1DD0DC50" w14:textId="77777777" w:rsidR="00D15AE4" w:rsidRPr="00BD7730" w:rsidRDefault="00D15AE4" w:rsidP="001A0E69">
            <w:pPr>
              <w:tabs>
                <w:tab w:val="center" w:pos="4153"/>
                <w:tab w:val="right" w:pos="8306"/>
              </w:tabs>
              <w:jc w:val="both"/>
              <w:rPr>
                <w:b/>
                <w:color w:val="000000"/>
              </w:rPr>
            </w:pPr>
            <w:r w:rsidRPr="00BD7730">
              <w:rPr>
                <w:b/>
                <w:color w:val="000000"/>
              </w:rPr>
              <w:t>The Ferry</w:t>
            </w:r>
          </w:p>
        </w:tc>
      </w:tr>
      <w:tr w:rsidR="00D15AE4" w14:paraId="62D5B2A0" w14:textId="77777777" w:rsidTr="00047473">
        <w:trPr>
          <w:jc w:val="center"/>
        </w:trPr>
        <w:tc>
          <w:tcPr>
            <w:tcW w:w="2122" w:type="dxa"/>
          </w:tcPr>
          <w:p w14:paraId="5E571825" w14:textId="26DD4800" w:rsidR="00D15AE4" w:rsidRPr="0091398E" w:rsidRDefault="00D15AE4" w:rsidP="001A0E69">
            <w:pPr>
              <w:tabs>
                <w:tab w:val="center" w:pos="4153"/>
                <w:tab w:val="right" w:pos="8306"/>
              </w:tabs>
              <w:rPr>
                <w:b/>
              </w:rPr>
            </w:pPr>
            <w:r w:rsidRPr="0091398E">
              <w:rPr>
                <w:b/>
              </w:rPr>
              <w:t>Emer Admissions rate per 100,000 18</w:t>
            </w:r>
            <w:r w:rsidR="00653622">
              <w:rPr>
                <w:b/>
              </w:rPr>
              <w:t>+</w:t>
            </w:r>
          </w:p>
        </w:tc>
        <w:tc>
          <w:tcPr>
            <w:tcW w:w="992" w:type="dxa"/>
            <w:tcBorders>
              <w:bottom w:val="single" w:sz="4" w:space="0" w:color="auto"/>
            </w:tcBorders>
            <w:shd w:val="clear" w:color="auto" w:fill="FF0000"/>
            <w:vAlign w:val="center"/>
          </w:tcPr>
          <w:p w14:paraId="4E4636C1" w14:textId="45203931" w:rsidR="00D15AE4" w:rsidRPr="00BD7730" w:rsidRDefault="00C35427" w:rsidP="00773C6D">
            <w:pPr>
              <w:tabs>
                <w:tab w:val="center" w:pos="4153"/>
                <w:tab w:val="right" w:pos="8306"/>
              </w:tabs>
              <w:jc w:val="center"/>
              <w:rPr>
                <w:color w:val="000000"/>
              </w:rPr>
            </w:pPr>
            <w:r>
              <w:rPr>
                <w:color w:val="000000"/>
              </w:rPr>
              <w:t>+</w:t>
            </w:r>
            <w:r w:rsidR="000F08A1">
              <w:rPr>
                <w:color w:val="000000"/>
              </w:rPr>
              <w:t>14</w:t>
            </w:r>
            <w:r>
              <w:rPr>
                <w:color w:val="000000"/>
              </w:rPr>
              <w:t>%</w:t>
            </w:r>
          </w:p>
        </w:tc>
        <w:tc>
          <w:tcPr>
            <w:tcW w:w="992" w:type="dxa"/>
            <w:tcBorders>
              <w:bottom w:val="single" w:sz="4" w:space="0" w:color="auto"/>
            </w:tcBorders>
            <w:shd w:val="clear" w:color="auto" w:fill="FF0000"/>
            <w:vAlign w:val="center"/>
          </w:tcPr>
          <w:p w14:paraId="76AF78DB" w14:textId="6C8D58B5" w:rsidR="00D15AE4" w:rsidRPr="00BD7730" w:rsidRDefault="00C35427" w:rsidP="00773C6D">
            <w:pPr>
              <w:tabs>
                <w:tab w:val="center" w:pos="4153"/>
                <w:tab w:val="right" w:pos="8306"/>
              </w:tabs>
              <w:jc w:val="center"/>
              <w:rPr>
                <w:color w:val="000000"/>
              </w:rPr>
            </w:pPr>
            <w:r>
              <w:rPr>
                <w:color w:val="000000"/>
              </w:rPr>
              <w:t>+</w:t>
            </w:r>
            <w:r w:rsidR="00A120C7">
              <w:rPr>
                <w:color w:val="000000"/>
              </w:rPr>
              <w:t>12.</w:t>
            </w:r>
            <w:r w:rsidR="00750DC4">
              <w:rPr>
                <w:color w:val="000000"/>
              </w:rPr>
              <w:t>4</w:t>
            </w:r>
            <w:r>
              <w:rPr>
                <w:color w:val="000000"/>
              </w:rPr>
              <w:t>%</w:t>
            </w:r>
          </w:p>
        </w:tc>
        <w:tc>
          <w:tcPr>
            <w:tcW w:w="998" w:type="dxa"/>
            <w:tcBorders>
              <w:bottom w:val="single" w:sz="4" w:space="0" w:color="auto"/>
            </w:tcBorders>
            <w:shd w:val="clear" w:color="auto" w:fill="FF0000"/>
            <w:vAlign w:val="center"/>
          </w:tcPr>
          <w:p w14:paraId="44BC553B" w14:textId="4E000D26" w:rsidR="00D15AE4" w:rsidRPr="00BD7730" w:rsidRDefault="00C35427" w:rsidP="00773C6D">
            <w:pPr>
              <w:tabs>
                <w:tab w:val="center" w:pos="4153"/>
                <w:tab w:val="right" w:pos="8306"/>
              </w:tabs>
              <w:jc w:val="center"/>
              <w:rPr>
                <w:color w:val="000000"/>
              </w:rPr>
            </w:pPr>
            <w:r>
              <w:rPr>
                <w:color w:val="000000"/>
              </w:rPr>
              <w:t>+</w:t>
            </w:r>
            <w:r w:rsidR="004322CE">
              <w:rPr>
                <w:color w:val="000000"/>
              </w:rPr>
              <w:t>3.7</w:t>
            </w:r>
            <w:r>
              <w:rPr>
                <w:color w:val="000000"/>
              </w:rPr>
              <w:t>%</w:t>
            </w:r>
          </w:p>
        </w:tc>
        <w:tc>
          <w:tcPr>
            <w:tcW w:w="1134" w:type="dxa"/>
            <w:tcBorders>
              <w:bottom w:val="single" w:sz="4" w:space="0" w:color="auto"/>
            </w:tcBorders>
            <w:shd w:val="clear" w:color="auto" w:fill="FF0000"/>
            <w:vAlign w:val="center"/>
          </w:tcPr>
          <w:p w14:paraId="081E9307" w14:textId="2E8B8411" w:rsidR="00D15AE4" w:rsidRPr="00BD7730" w:rsidRDefault="00C35427" w:rsidP="00773C6D">
            <w:pPr>
              <w:tabs>
                <w:tab w:val="center" w:pos="4153"/>
                <w:tab w:val="right" w:pos="8306"/>
              </w:tabs>
              <w:jc w:val="center"/>
              <w:rPr>
                <w:color w:val="000000"/>
              </w:rPr>
            </w:pPr>
            <w:r>
              <w:rPr>
                <w:color w:val="000000"/>
              </w:rPr>
              <w:t>+</w:t>
            </w:r>
            <w:r w:rsidR="004322CE">
              <w:rPr>
                <w:color w:val="000000"/>
              </w:rPr>
              <w:t>6</w:t>
            </w:r>
            <w:r>
              <w:rPr>
                <w:color w:val="000000"/>
              </w:rPr>
              <w:t>.0%</w:t>
            </w:r>
          </w:p>
        </w:tc>
        <w:tc>
          <w:tcPr>
            <w:tcW w:w="987" w:type="dxa"/>
            <w:tcBorders>
              <w:bottom w:val="single" w:sz="4" w:space="0" w:color="auto"/>
            </w:tcBorders>
            <w:shd w:val="clear" w:color="auto" w:fill="FF0000"/>
            <w:vAlign w:val="center"/>
          </w:tcPr>
          <w:p w14:paraId="17FB17D0" w14:textId="05EBE7BF" w:rsidR="00D15AE4" w:rsidRPr="00BD7730" w:rsidRDefault="00C35427" w:rsidP="00773C6D">
            <w:pPr>
              <w:tabs>
                <w:tab w:val="center" w:pos="4153"/>
                <w:tab w:val="right" w:pos="8306"/>
              </w:tabs>
              <w:jc w:val="center"/>
              <w:rPr>
                <w:color w:val="000000"/>
              </w:rPr>
            </w:pPr>
            <w:r>
              <w:rPr>
                <w:color w:val="000000"/>
              </w:rPr>
              <w:t>+</w:t>
            </w:r>
            <w:r w:rsidR="006D3539">
              <w:rPr>
                <w:color w:val="000000"/>
              </w:rPr>
              <w:t>15.9</w:t>
            </w:r>
            <w:r>
              <w:rPr>
                <w:color w:val="000000"/>
              </w:rPr>
              <w:t>%</w:t>
            </w:r>
          </w:p>
        </w:tc>
        <w:tc>
          <w:tcPr>
            <w:tcW w:w="992" w:type="dxa"/>
            <w:tcBorders>
              <w:bottom w:val="single" w:sz="4" w:space="0" w:color="auto"/>
            </w:tcBorders>
            <w:shd w:val="clear" w:color="auto" w:fill="FF0000"/>
            <w:vAlign w:val="center"/>
          </w:tcPr>
          <w:p w14:paraId="16CD36BF" w14:textId="5B15F159" w:rsidR="00D15AE4" w:rsidRPr="00BD7730" w:rsidRDefault="00C35427" w:rsidP="00773C6D">
            <w:pPr>
              <w:tabs>
                <w:tab w:val="center" w:pos="4153"/>
                <w:tab w:val="right" w:pos="8306"/>
              </w:tabs>
              <w:jc w:val="center"/>
              <w:rPr>
                <w:color w:val="000000"/>
              </w:rPr>
            </w:pPr>
            <w:r>
              <w:rPr>
                <w:color w:val="000000"/>
              </w:rPr>
              <w:t>+</w:t>
            </w:r>
            <w:r w:rsidR="00A120C7">
              <w:rPr>
                <w:color w:val="000000"/>
              </w:rPr>
              <w:t>2</w:t>
            </w:r>
            <w:r w:rsidR="00ED1B17">
              <w:rPr>
                <w:color w:val="000000"/>
              </w:rPr>
              <w:t>3.8</w:t>
            </w:r>
            <w:r>
              <w:rPr>
                <w:color w:val="000000"/>
              </w:rPr>
              <w:t>%</w:t>
            </w:r>
          </w:p>
        </w:tc>
        <w:tc>
          <w:tcPr>
            <w:tcW w:w="856" w:type="dxa"/>
            <w:tcBorders>
              <w:bottom w:val="single" w:sz="4" w:space="0" w:color="auto"/>
            </w:tcBorders>
            <w:shd w:val="clear" w:color="auto" w:fill="FF0000"/>
            <w:vAlign w:val="center"/>
          </w:tcPr>
          <w:p w14:paraId="59B9E8FE" w14:textId="6790BD0A" w:rsidR="00D15AE4" w:rsidRPr="00450849" w:rsidRDefault="00C35427" w:rsidP="00450849">
            <w:pPr>
              <w:tabs>
                <w:tab w:val="center" w:pos="4153"/>
                <w:tab w:val="right" w:pos="8306"/>
              </w:tabs>
              <w:rPr>
                <w:color w:val="000000"/>
                <w:sz w:val="18"/>
                <w:szCs w:val="18"/>
              </w:rPr>
            </w:pPr>
            <w:r w:rsidRPr="00450849">
              <w:rPr>
                <w:color w:val="000000"/>
                <w:sz w:val="18"/>
                <w:szCs w:val="18"/>
              </w:rPr>
              <w:t>+</w:t>
            </w:r>
            <w:r w:rsidR="00450849" w:rsidRPr="00450849">
              <w:rPr>
                <w:color w:val="000000"/>
                <w:sz w:val="18"/>
                <w:szCs w:val="18"/>
              </w:rPr>
              <w:t>17.5</w:t>
            </w:r>
            <w:r w:rsidRPr="00450849">
              <w:rPr>
                <w:color w:val="000000"/>
                <w:sz w:val="18"/>
                <w:szCs w:val="18"/>
              </w:rPr>
              <w:t>%</w:t>
            </w:r>
          </w:p>
        </w:tc>
        <w:tc>
          <w:tcPr>
            <w:tcW w:w="992" w:type="dxa"/>
            <w:tcBorders>
              <w:bottom w:val="single" w:sz="4" w:space="0" w:color="auto"/>
            </w:tcBorders>
            <w:shd w:val="clear" w:color="auto" w:fill="FF0000"/>
            <w:vAlign w:val="center"/>
          </w:tcPr>
          <w:p w14:paraId="4C2C4D89" w14:textId="0F74CA04" w:rsidR="00D15AE4" w:rsidRPr="00BD7730" w:rsidRDefault="00C35427" w:rsidP="00773C6D">
            <w:pPr>
              <w:tabs>
                <w:tab w:val="center" w:pos="4153"/>
                <w:tab w:val="right" w:pos="8306"/>
              </w:tabs>
              <w:jc w:val="center"/>
              <w:rPr>
                <w:color w:val="000000"/>
              </w:rPr>
            </w:pPr>
            <w:r>
              <w:rPr>
                <w:color w:val="000000"/>
              </w:rPr>
              <w:t>+</w:t>
            </w:r>
            <w:r w:rsidR="00A120C7">
              <w:rPr>
                <w:color w:val="000000"/>
              </w:rPr>
              <w:t>1</w:t>
            </w:r>
            <w:r w:rsidR="00956E08">
              <w:rPr>
                <w:color w:val="000000"/>
              </w:rPr>
              <w:t>5.4</w:t>
            </w:r>
            <w:r>
              <w:rPr>
                <w:color w:val="000000"/>
              </w:rPr>
              <w:t>%</w:t>
            </w:r>
          </w:p>
        </w:tc>
        <w:tc>
          <w:tcPr>
            <w:tcW w:w="992" w:type="dxa"/>
            <w:tcBorders>
              <w:bottom w:val="single" w:sz="4" w:space="0" w:color="auto"/>
            </w:tcBorders>
            <w:shd w:val="clear" w:color="auto" w:fill="FF0000"/>
            <w:vAlign w:val="center"/>
          </w:tcPr>
          <w:p w14:paraId="5AA764DF" w14:textId="3C8873FA" w:rsidR="00D15AE4" w:rsidRPr="00BD7730" w:rsidRDefault="00C35427" w:rsidP="00773C6D">
            <w:pPr>
              <w:tabs>
                <w:tab w:val="center" w:pos="4153"/>
                <w:tab w:val="right" w:pos="8306"/>
              </w:tabs>
              <w:jc w:val="center"/>
              <w:rPr>
                <w:color w:val="000000"/>
              </w:rPr>
            </w:pPr>
            <w:r>
              <w:rPr>
                <w:color w:val="000000"/>
              </w:rPr>
              <w:t>+1</w:t>
            </w:r>
            <w:r w:rsidR="00466AEA">
              <w:rPr>
                <w:color w:val="000000"/>
              </w:rPr>
              <w:t>8.3</w:t>
            </w:r>
            <w:r>
              <w:rPr>
                <w:color w:val="000000"/>
              </w:rPr>
              <w:t>%</w:t>
            </w:r>
          </w:p>
        </w:tc>
      </w:tr>
      <w:tr w:rsidR="00D15AE4" w14:paraId="1494AC29" w14:textId="77777777" w:rsidTr="00810CB0">
        <w:trPr>
          <w:jc w:val="center"/>
        </w:trPr>
        <w:tc>
          <w:tcPr>
            <w:tcW w:w="2122" w:type="dxa"/>
          </w:tcPr>
          <w:p w14:paraId="114CD427" w14:textId="41CA44CE" w:rsidR="00D15AE4" w:rsidRPr="0091398E" w:rsidRDefault="00D15AE4" w:rsidP="001A0E69">
            <w:pPr>
              <w:tabs>
                <w:tab w:val="center" w:pos="4153"/>
                <w:tab w:val="right" w:pos="8306"/>
              </w:tabs>
              <w:rPr>
                <w:b/>
              </w:rPr>
            </w:pPr>
            <w:r w:rsidRPr="0091398E">
              <w:rPr>
                <w:b/>
              </w:rPr>
              <w:t xml:space="preserve">Emer Bed Days rate per 100,000 18+ </w:t>
            </w:r>
            <w:r w:rsidR="008B1085">
              <w:rPr>
                <w:b/>
              </w:rPr>
              <w:t xml:space="preserve"> </w:t>
            </w:r>
          </w:p>
        </w:tc>
        <w:tc>
          <w:tcPr>
            <w:tcW w:w="992" w:type="dxa"/>
            <w:tcBorders>
              <w:bottom w:val="single" w:sz="4" w:space="0" w:color="auto"/>
            </w:tcBorders>
            <w:shd w:val="clear" w:color="auto" w:fill="FF0000"/>
            <w:vAlign w:val="center"/>
          </w:tcPr>
          <w:p w14:paraId="4B73A0F4" w14:textId="1817DDCF" w:rsidR="00D15AE4" w:rsidRPr="00BD7730" w:rsidRDefault="007B3773" w:rsidP="00773C6D">
            <w:pPr>
              <w:tabs>
                <w:tab w:val="center" w:pos="4153"/>
                <w:tab w:val="right" w:pos="8306"/>
              </w:tabs>
              <w:jc w:val="center"/>
              <w:rPr>
                <w:color w:val="000000"/>
              </w:rPr>
            </w:pPr>
            <w:r>
              <w:rPr>
                <w:color w:val="000000"/>
              </w:rPr>
              <w:t>+0.9%</w:t>
            </w:r>
          </w:p>
        </w:tc>
        <w:tc>
          <w:tcPr>
            <w:tcW w:w="992" w:type="dxa"/>
            <w:tcBorders>
              <w:bottom w:val="single" w:sz="4" w:space="0" w:color="auto"/>
            </w:tcBorders>
            <w:shd w:val="clear" w:color="auto" w:fill="00B050"/>
            <w:vAlign w:val="center"/>
          </w:tcPr>
          <w:p w14:paraId="2DF280BE" w14:textId="04EF89C0" w:rsidR="00D15AE4" w:rsidRPr="00BD7730" w:rsidRDefault="00900A07" w:rsidP="00773C6D">
            <w:pPr>
              <w:tabs>
                <w:tab w:val="center" w:pos="4153"/>
                <w:tab w:val="right" w:pos="8306"/>
              </w:tabs>
              <w:jc w:val="center"/>
              <w:rPr>
                <w:color w:val="000000"/>
              </w:rPr>
            </w:pPr>
            <w:r>
              <w:rPr>
                <w:color w:val="000000"/>
              </w:rPr>
              <w:t>-9.0%</w:t>
            </w:r>
          </w:p>
        </w:tc>
        <w:tc>
          <w:tcPr>
            <w:tcW w:w="998" w:type="dxa"/>
            <w:tcBorders>
              <w:bottom w:val="single" w:sz="4" w:space="0" w:color="auto"/>
            </w:tcBorders>
            <w:shd w:val="clear" w:color="auto" w:fill="00B050"/>
            <w:vAlign w:val="center"/>
          </w:tcPr>
          <w:p w14:paraId="4B41B32B" w14:textId="43CCDB8B" w:rsidR="00D15AE4" w:rsidRPr="00BD7730" w:rsidRDefault="00BD42F4" w:rsidP="00773C6D">
            <w:pPr>
              <w:tabs>
                <w:tab w:val="center" w:pos="4153"/>
                <w:tab w:val="right" w:pos="8306"/>
              </w:tabs>
              <w:jc w:val="center"/>
              <w:rPr>
                <w:color w:val="000000"/>
              </w:rPr>
            </w:pPr>
            <w:r>
              <w:rPr>
                <w:color w:val="000000"/>
              </w:rPr>
              <w:t>-</w:t>
            </w:r>
            <w:r w:rsidR="00CD10C0">
              <w:rPr>
                <w:color w:val="000000"/>
              </w:rPr>
              <w:t>3.2</w:t>
            </w:r>
            <w:r>
              <w:rPr>
                <w:color w:val="000000"/>
              </w:rPr>
              <w:t>%</w:t>
            </w:r>
          </w:p>
        </w:tc>
        <w:tc>
          <w:tcPr>
            <w:tcW w:w="1134" w:type="dxa"/>
            <w:tcBorders>
              <w:bottom w:val="single" w:sz="4" w:space="0" w:color="auto"/>
              <w:right w:val="single" w:sz="4" w:space="0" w:color="auto"/>
            </w:tcBorders>
            <w:shd w:val="clear" w:color="auto" w:fill="00B050"/>
            <w:vAlign w:val="center"/>
          </w:tcPr>
          <w:p w14:paraId="328350AA" w14:textId="24D1CEF2" w:rsidR="00D15AE4" w:rsidRPr="00BD7730" w:rsidRDefault="00BD42F4" w:rsidP="00773C6D">
            <w:pPr>
              <w:tabs>
                <w:tab w:val="center" w:pos="4153"/>
                <w:tab w:val="right" w:pos="8306"/>
              </w:tabs>
              <w:jc w:val="center"/>
              <w:rPr>
                <w:color w:val="000000"/>
              </w:rPr>
            </w:pPr>
            <w:r>
              <w:rPr>
                <w:color w:val="000000"/>
              </w:rPr>
              <w:t>-</w:t>
            </w:r>
            <w:r w:rsidR="00CD10C0">
              <w:rPr>
                <w:color w:val="000000"/>
              </w:rPr>
              <w:t>1.6</w:t>
            </w:r>
            <w:r>
              <w:rPr>
                <w:color w:val="000000"/>
              </w:rPr>
              <w:t>%</w:t>
            </w:r>
          </w:p>
        </w:tc>
        <w:tc>
          <w:tcPr>
            <w:tcW w:w="987" w:type="dxa"/>
            <w:tcBorders>
              <w:left w:val="single" w:sz="4" w:space="0" w:color="auto"/>
              <w:bottom w:val="single" w:sz="4" w:space="0" w:color="auto"/>
            </w:tcBorders>
            <w:shd w:val="clear" w:color="auto" w:fill="FF0000"/>
            <w:vAlign w:val="center"/>
          </w:tcPr>
          <w:p w14:paraId="72BA4DA4" w14:textId="12CEDDCB" w:rsidR="00D15AE4" w:rsidRPr="00BD7730" w:rsidRDefault="00047473" w:rsidP="00773C6D">
            <w:pPr>
              <w:tabs>
                <w:tab w:val="center" w:pos="4153"/>
                <w:tab w:val="right" w:pos="8306"/>
              </w:tabs>
              <w:jc w:val="center"/>
              <w:rPr>
                <w:color w:val="000000"/>
              </w:rPr>
            </w:pPr>
            <w:r>
              <w:rPr>
                <w:color w:val="000000"/>
              </w:rPr>
              <w:t>+30</w:t>
            </w:r>
            <w:r w:rsidR="00BD42F4">
              <w:rPr>
                <w:color w:val="000000"/>
              </w:rPr>
              <w:t>%</w:t>
            </w:r>
          </w:p>
        </w:tc>
        <w:tc>
          <w:tcPr>
            <w:tcW w:w="992" w:type="dxa"/>
            <w:tcBorders>
              <w:bottom w:val="single" w:sz="4" w:space="0" w:color="auto"/>
            </w:tcBorders>
            <w:shd w:val="clear" w:color="auto" w:fill="FF0000"/>
            <w:vAlign w:val="center"/>
          </w:tcPr>
          <w:p w14:paraId="70417C25" w14:textId="131D75B4" w:rsidR="00D15AE4" w:rsidRPr="00BD7730" w:rsidRDefault="005E6CF6" w:rsidP="00773C6D">
            <w:pPr>
              <w:tabs>
                <w:tab w:val="center" w:pos="4153"/>
                <w:tab w:val="right" w:pos="8306"/>
              </w:tabs>
              <w:jc w:val="center"/>
              <w:rPr>
                <w:color w:val="000000"/>
              </w:rPr>
            </w:pPr>
            <w:r>
              <w:rPr>
                <w:color w:val="000000"/>
              </w:rPr>
              <w:t>+13.7</w:t>
            </w:r>
            <w:r w:rsidR="00BD42F4">
              <w:rPr>
                <w:color w:val="000000"/>
              </w:rPr>
              <w:t>%</w:t>
            </w:r>
          </w:p>
        </w:tc>
        <w:tc>
          <w:tcPr>
            <w:tcW w:w="856" w:type="dxa"/>
            <w:tcBorders>
              <w:bottom w:val="single" w:sz="4" w:space="0" w:color="auto"/>
            </w:tcBorders>
            <w:shd w:val="clear" w:color="auto" w:fill="00B050"/>
            <w:vAlign w:val="center"/>
          </w:tcPr>
          <w:p w14:paraId="1B44831E" w14:textId="27F652E9" w:rsidR="00D15AE4" w:rsidRPr="00BD7730" w:rsidRDefault="005E6CF6" w:rsidP="00773C6D">
            <w:pPr>
              <w:tabs>
                <w:tab w:val="center" w:pos="4153"/>
                <w:tab w:val="right" w:pos="8306"/>
              </w:tabs>
              <w:jc w:val="center"/>
              <w:rPr>
                <w:color w:val="000000"/>
              </w:rPr>
            </w:pPr>
            <w:r>
              <w:rPr>
                <w:color w:val="000000"/>
              </w:rPr>
              <w:t>-13.4%</w:t>
            </w:r>
          </w:p>
        </w:tc>
        <w:tc>
          <w:tcPr>
            <w:tcW w:w="992" w:type="dxa"/>
            <w:tcBorders>
              <w:bottom w:val="single" w:sz="4" w:space="0" w:color="auto"/>
            </w:tcBorders>
            <w:shd w:val="clear" w:color="auto" w:fill="FF0000"/>
            <w:vAlign w:val="center"/>
          </w:tcPr>
          <w:p w14:paraId="2E66CA20" w14:textId="6CDD4065" w:rsidR="00D15AE4" w:rsidRPr="00BD7730" w:rsidRDefault="005E6CF6" w:rsidP="00773C6D">
            <w:pPr>
              <w:tabs>
                <w:tab w:val="center" w:pos="4153"/>
                <w:tab w:val="right" w:pos="8306"/>
              </w:tabs>
              <w:jc w:val="center"/>
              <w:rPr>
                <w:color w:val="000000"/>
              </w:rPr>
            </w:pPr>
            <w:r>
              <w:rPr>
                <w:color w:val="000000"/>
              </w:rPr>
              <w:t>+0.5</w:t>
            </w:r>
            <w:r w:rsidR="00BD42F4">
              <w:rPr>
                <w:color w:val="000000"/>
              </w:rPr>
              <w:t>%</w:t>
            </w:r>
          </w:p>
        </w:tc>
        <w:tc>
          <w:tcPr>
            <w:tcW w:w="992" w:type="dxa"/>
            <w:tcBorders>
              <w:bottom w:val="single" w:sz="4" w:space="0" w:color="auto"/>
            </w:tcBorders>
            <w:shd w:val="clear" w:color="auto" w:fill="FF0000"/>
            <w:vAlign w:val="center"/>
          </w:tcPr>
          <w:p w14:paraId="3864F841" w14:textId="0824EC97" w:rsidR="00D15AE4" w:rsidRPr="00BD7730" w:rsidRDefault="00BD42F4" w:rsidP="00773C6D">
            <w:pPr>
              <w:tabs>
                <w:tab w:val="center" w:pos="4153"/>
                <w:tab w:val="right" w:pos="8306"/>
              </w:tabs>
              <w:jc w:val="center"/>
              <w:rPr>
                <w:color w:val="000000"/>
              </w:rPr>
            </w:pPr>
            <w:r>
              <w:rPr>
                <w:color w:val="000000"/>
              </w:rPr>
              <w:t>+</w:t>
            </w:r>
            <w:r w:rsidR="004D4055">
              <w:rPr>
                <w:color w:val="000000"/>
              </w:rPr>
              <w:t>2.2</w:t>
            </w:r>
            <w:r>
              <w:rPr>
                <w:color w:val="000000"/>
              </w:rPr>
              <w:t>%</w:t>
            </w:r>
          </w:p>
        </w:tc>
      </w:tr>
      <w:tr w:rsidR="00B12D3F" w14:paraId="2E54188D" w14:textId="77777777" w:rsidTr="009C54D5">
        <w:trPr>
          <w:jc w:val="center"/>
        </w:trPr>
        <w:tc>
          <w:tcPr>
            <w:tcW w:w="2122" w:type="dxa"/>
          </w:tcPr>
          <w:p w14:paraId="596287C4" w14:textId="5FD2FF3B" w:rsidR="00B12D3F" w:rsidRPr="0091398E" w:rsidRDefault="003C322F" w:rsidP="00B12D3F">
            <w:pPr>
              <w:tabs>
                <w:tab w:val="center" w:pos="4153"/>
                <w:tab w:val="right" w:pos="8306"/>
              </w:tabs>
              <w:rPr>
                <w:b/>
              </w:rPr>
            </w:pPr>
            <w:r w:rsidRPr="0091398E">
              <w:rPr>
                <w:b/>
              </w:rPr>
              <w:t xml:space="preserve">28 Day </w:t>
            </w:r>
            <w:r w:rsidR="00B12D3F" w:rsidRPr="0091398E">
              <w:rPr>
                <w:b/>
              </w:rPr>
              <w:t xml:space="preserve">Readmissions rate per 1,000 Admissions </w:t>
            </w:r>
            <w:r w:rsidR="00653622">
              <w:rPr>
                <w:b/>
              </w:rPr>
              <w:t>18+</w:t>
            </w:r>
          </w:p>
        </w:tc>
        <w:tc>
          <w:tcPr>
            <w:tcW w:w="992" w:type="dxa"/>
            <w:shd w:val="clear" w:color="auto" w:fill="FF0000"/>
            <w:vAlign w:val="center"/>
          </w:tcPr>
          <w:p w14:paraId="33FF5B1F" w14:textId="482F36CC" w:rsidR="00B12D3F" w:rsidRPr="00F60917" w:rsidRDefault="00C35427" w:rsidP="00B12D3F">
            <w:pPr>
              <w:tabs>
                <w:tab w:val="center" w:pos="4153"/>
                <w:tab w:val="right" w:pos="8306"/>
              </w:tabs>
              <w:jc w:val="center"/>
              <w:rPr>
                <w:color w:val="000000"/>
              </w:rPr>
            </w:pPr>
            <w:r>
              <w:rPr>
                <w:color w:val="000000"/>
              </w:rPr>
              <w:t>+</w:t>
            </w:r>
            <w:r w:rsidR="00615CED">
              <w:rPr>
                <w:color w:val="000000"/>
              </w:rPr>
              <w:t>9</w:t>
            </w:r>
            <w:r>
              <w:rPr>
                <w:color w:val="000000"/>
              </w:rPr>
              <w:t>%</w:t>
            </w:r>
          </w:p>
        </w:tc>
        <w:tc>
          <w:tcPr>
            <w:tcW w:w="992" w:type="dxa"/>
            <w:tcBorders>
              <w:bottom w:val="single" w:sz="4" w:space="0" w:color="auto"/>
            </w:tcBorders>
            <w:shd w:val="clear" w:color="auto" w:fill="FF0000"/>
            <w:vAlign w:val="center"/>
          </w:tcPr>
          <w:p w14:paraId="665783D5" w14:textId="5B86B7CA" w:rsidR="00B12D3F" w:rsidRPr="00F60917" w:rsidRDefault="00C35427" w:rsidP="00B12D3F">
            <w:pPr>
              <w:tabs>
                <w:tab w:val="center" w:pos="4153"/>
                <w:tab w:val="right" w:pos="8306"/>
              </w:tabs>
              <w:jc w:val="center"/>
              <w:rPr>
                <w:color w:val="000000"/>
              </w:rPr>
            </w:pPr>
            <w:r>
              <w:rPr>
                <w:color w:val="000000"/>
              </w:rPr>
              <w:t>+</w:t>
            </w:r>
            <w:r w:rsidR="002E65D4">
              <w:rPr>
                <w:color w:val="000000"/>
              </w:rPr>
              <w:t>11</w:t>
            </w:r>
            <w:r>
              <w:rPr>
                <w:color w:val="000000"/>
              </w:rPr>
              <w:t>%</w:t>
            </w:r>
          </w:p>
        </w:tc>
        <w:tc>
          <w:tcPr>
            <w:tcW w:w="998" w:type="dxa"/>
            <w:shd w:val="clear" w:color="auto" w:fill="00B050"/>
            <w:vAlign w:val="center"/>
          </w:tcPr>
          <w:p w14:paraId="46697ED6" w14:textId="29460A6F" w:rsidR="00B12D3F" w:rsidRPr="00F60917" w:rsidRDefault="00C35427" w:rsidP="00B12D3F">
            <w:pPr>
              <w:tabs>
                <w:tab w:val="center" w:pos="4153"/>
                <w:tab w:val="right" w:pos="8306"/>
              </w:tabs>
              <w:jc w:val="center"/>
              <w:rPr>
                <w:color w:val="000000"/>
              </w:rPr>
            </w:pPr>
            <w:r>
              <w:rPr>
                <w:color w:val="000000"/>
              </w:rPr>
              <w:t>-</w:t>
            </w:r>
            <w:r w:rsidR="00F93D30">
              <w:rPr>
                <w:color w:val="000000"/>
              </w:rPr>
              <w:t>6</w:t>
            </w:r>
            <w:r>
              <w:rPr>
                <w:color w:val="000000"/>
              </w:rPr>
              <w:t>%</w:t>
            </w:r>
          </w:p>
        </w:tc>
        <w:tc>
          <w:tcPr>
            <w:tcW w:w="1134" w:type="dxa"/>
            <w:shd w:val="clear" w:color="auto" w:fill="FF0000"/>
            <w:vAlign w:val="center"/>
          </w:tcPr>
          <w:p w14:paraId="5833A644" w14:textId="2CA396A4" w:rsidR="00B12D3F" w:rsidRPr="00F60917" w:rsidRDefault="00C35427" w:rsidP="00B12D3F">
            <w:pPr>
              <w:tabs>
                <w:tab w:val="center" w:pos="4153"/>
                <w:tab w:val="right" w:pos="8306"/>
              </w:tabs>
              <w:jc w:val="center"/>
              <w:rPr>
                <w:color w:val="000000"/>
              </w:rPr>
            </w:pPr>
            <w:r>
              <w:rPr>
                <w:color w:val="000000"/>
              </w:rPr>
              <w:t>+</w:t>
            </w:r>
            <w:r w:rsidR="002E65D4">
              <w:rPr>
                <w:color w:val="000000"/>
              </w:rPr>
              <w:t>16</w:t>
            </w:r>
            <w:r>
              <w:rPr>
                <w:color w:val="000000"/>
              </w:rPr>
              <w:t>%</w:t>
            </w:r>
          </w:p>
        </w:tc>
        <w:tc>
          <w:tcPr>
            <w:tcW w:w="987" w:type="dxa"/>
            <w:shd w:val="clear" w:color="auto" w:fill="FF0000"/>
            <w:vAlign w:val="center"/>
          </w:tcPr>
          <w:p w14:paraId="507E6654" w14:textId="2E8DD7E6" w:rsidR="00B12D3F" w:rsidRPr="00F60917" w:rsidRDefault="002E65D4" w:rsidP="00B12D3F">
            <w:pPr>
              <w:tabs>
                <w:tab w:val="center" w:pos="4153"/>
                <w:tab w:val="right" w:pos="8306"/>
              </w:tabs>
              <w:jc w:val="center"/>
              <w:rPr>
                <w:color w:val="000000"/>
              </w:rPr>
            </w:pPr>
            <w:r>
              <w:rPr>
                <w:color w:val="000000"/>
              </w:rPr>
              <w:t>+</w:t>
            </w:r>
            <w:r w:rsidR="009C54D5">
              <w:rPr>
                <w:color w:val="000000"/>
              </w:rPr>
              <w:t>12</w:t>
            </w:r>
            <w:r w:rsidR="00C35427">
              <w:rPr>
                <w:color w:val="000000"/>
              </w:rPr>
              <w:t>%</w:t>
            </w:r>
          </w:p>
        </w:tc>
        <w:tc>
          <w:tcPr>
            <w:tcW w:w="992" w:type="dxa"/>
            <w:shd w:val="clear" w:color="auto" w:fill="FF0000"/>
            <w:vAlign w:val="center"/>
          </w:tcPr>
          <w:p w14:paraId="1C288660" w14:textId="2DDE8236" w:rsidR="00B12D3F" w:rsidRPr="00F60917" w:rsidRDefault="004A0D3E" w:rsidP="00B12D3F">
            <w:pPr>
              <w:tabs>
                <w:tab w:val="center" w:pos="4153"/>
                <w:tab w:val="right" w:pos="8306"/>
              </w:tabs>
              <w:jc w:val="center"/>
              <w:rPr>
                <w:color w:val="000000"/>
              </w:rPr>
            </w:pPr>
            <w:r>
              <w:rPr>
                <w:color w:val="000000"/>
              </w:rPr>
              <w:t>+</w:t>
            </w:r>
            <w:r w:rsidR="009C54D5">
              <w:rPr>
                <w:color w:val="000000"/>
              </w:rPr>
              <w:t>4</w:t>
            </w:r>
            <w:r w:rsidR="00C35427">
              <w:rPr>
                <w:color w:val="000000"/>
              </w:rPr>
              <w:t>%</w:t>
            </w:r>
          </w:p>
        </w:tc>
        <w:tc>
          <w:tcPr>
            <w:tcW w:w="856" w:type="dxa"/>
            <w:shd w:val="clear" w:color="auto" w:fill="FF0000"/>
            <w:vAlign w:val="center"/>
          </w:tcPr>
          <w:p w14:paraId="59B7CCE4" w14:textId="3600696C" w:rsidR="00B12D3F" w:rsidRPr="00F60917" w:rsidRDefault="009C54D5" w:rsidP="00B12D3F">
            <w:pPr>
              <w:tabs>
                <w:tab w:val="center" w:pos="4153"/>
                <w:tab w:val="right" w:pos="8306"/>
              </w:tabs>
              <w:jc w:val="center"/>
              <w:rPr>
                <w:color w:val="000000"/>
              </w:rPr>
            </w:pPr>
            <w:r>
              <w:rPr>
                <w:color w:val="000000"/>
              </w:rPr>
              <w:t>+10</w:t>
            </w:r>
            <w:r w:rsidR="00C35427">
              <w:rPr>
                <w:color w:val="000000"/>
              </w:rPr>
              <w:t>%</w:t>
            </w:r>
          </w:p>
        </w:tc>
        <w:tc>
          <w:tcPr>
            <w:tcW w:w="992" w:type="dxa"/>
            <w:shd w:val="clear" w:color="auto" w:fill="FF0000"/>
            <w:vAlign w:val="center"/>
          </w:tcPr>
          <w:p w14:paraId="7B3C339F" w14:textId="740CF223" w:rsidR="00B12D3F" w:rsidRPr="00F60917" w:rsidRDefault="00C35427" w:rsidP="00B12D3F">
            <w:pPr>
              <w:tabs>
                <w:tab w:val="center" w:pos="4153"/>
                <w:tab w:val="right" w:pos="8306"/>
              </w:tabs>
              <w:jc w:val="center"/>
              <w:rPr>
                <w:color w:val="000000"/>
              </w:rPr>
            </w:pPr>
            <w:r>
              <w:rPr>
                <w:color w:val="000000"/>
              </w:rPr>
              <w:t>+2</w:t>
            </w:r>
            <w:r w:rsidR="002E65D4">
              <w:rPr>
                <w:color w:val="000000"/>
              </w:rPr>
              <w:t>0</w:t>
            </w:r>
            <w:r>
              <w:rPr>
                <w:color w:val="000000"/>
              </w:rPr>
              <w:t>%</w:t>
            </w:r>
          </w:p>
        </w:tc>
        <w:tc>
          <w:tcPr>
            <w:tcW w:w="992" w:type="dxa"/>
            <w:shd w:val="clear" w:color="auto" w:fill="FF0000"/>
            <w:vAlign w:val="center"/>
          </w:tcPr>
          <w:p w14:paraId="4F955113" w14:textId="58215C32" w:rsidR="00B12D3F" w:rsidRPr="00F60917" w:rsidRDefault="00C35427" w:rsidP="00B12D3F">
            <w:pPr>
              <w:tabs>
                <w:tab w:val="center" w:pos="4153"/>
                <w:tab w:val="right" w:pos="8306"/>
              </w:tabs>
              <w:jc w:val="center"/>
              <w:rPr>
                <w:color w:val="000000"/>
              </w:rPr>
            </w:pPr>
            <w:r>
              <w:rPr>
                <w:color w:val="000000"/>
              </w:rPr>
              <w:t>+1</w:t>
            </w:r>
            <w:r w:rsidR="003F41DC">
              <w:rPr>
                <w:color w:val="000000"/>
              </w:rPr>
              <w:t>3</w:t>
            </w:r>
            <w:r>
              <w:rPr>
                <w:color w:val="000000"/>
              </w:rPr>
              <w:t>%</w:t>
            </w:r>
          </w:p>
        </w:tc>
      </w:tr>
      <w:tr w:rsidR="00B12D3F" w14:paraId="01CB4E10" w14:textId="77777777" w:rsidTr="00414407">
        <w:trPr>
          <w:trHeight w:val="582"/>
          <w:jc w:val="center"/>
        </w:trPr>
        <w:tc>
          <w:tcPr>
            <w:tcW w:w="2122" w:type="dxa"/>
          </w:tcPr>
          <w:p w14:paraId="6B3E9A1C" w14:textId="77777777" w:rsidR="00B12D3F" w:rsidRPr="0091398E" w:rsidRDefault="00B12D3F" w:rsidP="00B12D3F">
            <w:pPr>
              <w:tabs>
                <w:tab w:val="center" w:pos="4153"/>
                <w:tab w:val="right" w:pos="8306"/>
              </w:tabs>
              <w:rPr>
                <w:b/>
              </w:rPr>
            </w:pPr>
            <w:r w:rsidRPr="0091398E">
              <w:rPr>
                <w:b/>
              </w:rPr>
              <w:t>Hospital admissions due to falls rate per 1,000 65+</w:t>
            </w:r>
          </w:p>
        </w:tc>
        <w:tc>
          <w:tcPr>
            <w:tcW w:w="992" w:type="dxa"/>
            <w:tcBorders>
              <w:bottom w:val="single" w:sz="4" w:space="0" w:color="auto"/>
            </w:tcBorders>
            <w:shd w:val="clear" w:color="auto" w:fill="FF0000"/>
            <w:vAlign w:val="center"/>
          </w:tcPr>
          <w:p w14:paraId="5BAB098C" w14:textId="648685E5" w:rsidR="00B12D3F" w:rsidRPr="00BD7730" w:rsidRDefault="00C35427" w:rsidP="00B12D3F">
            <w:pPr>
              <w:tabs>
                <w:tab w:val="center" w:pos="4153"/>
                <w:tab w:val="right" w:pos="8306"/>
              </w:tabs>
              <w:jc w:val="center"/>
              <w:rPr>
                <w:color w:val="000000"/>
              </w:rPr>
            </w:pPr>
            <w:r>
              <w:rPr>
                <w:color w:val="000000"/>
              </w:rPr>
              <w:t>+</w:t>
            </w:r>
            <w:r w:rsidR="00EC7C46">
              <w:rPr>
                <w:color w:val="000000"/>
              </w:rPr>
              <w:t>20</w:t>
            </w:r>
            <w:r>
              <w:rPr>
                <w:color w:val="000000"/>
              </w:rPr>
              <w:t>%</w:t>
            </w:r>
          </w:p>
        </w:tc>
        <w:tc>
          <w:tcPr>
            <w:tcW w:w="992" w:type="dxa"/>
            <w:tcBorders>
              <w:bottom w:val="single" w:sz="4" w:space="0" w:color="auto"/>
            </w:tcBorders>
            <w:shd w:val="clear" w:color="auto" w:fill="FF0000"/>
            <w:vAlign w:val="center"/>
          </w:tcPr>
          <w:p w14:paraId="4B9A36EC" w14:textId="283883B2" w:rsidR="00B12D3F" w:rsidRPr="00BD7730" w:rsidRDefault="00C35427" w:rsidP="00B12D3F">
            <w:pPr>
              <w:tabs>
                <w:tab w:val="center" w:pos="4153"/>
                <w:tab w:val="right" w:pos="8306"/>
              </w:tabs>
              <w:jc w:val="center"/>
              <w:rPr>
                <w:color w:val="000000"/>
              </w:rPr>
            </w:pPr>
            <w:r>
              <w:rPr>
                <w:color w:val="000000"/>
              </w:rPr>
              <w:t>+</w:t>
            </w:r>
            <w:r w:rsidR="00563EB4">
              <w:rPr>
                <w:color w:val="000000"/>
              </w:rPr>
              <w:t>93</w:t>
            </w:r>
            <w:r>
              <w:rPr>
                <w:color w:val="000000"/>
              </w:rPr>
              <w:t>%</w:t>
            </w:r>
          </w:p>
        </w:tc>
        <w:tc>
          <w:tcPr>
            <w:tcW w:w="998" w:type="dxa"/>
            <w:tcBorders>
              <w:bottom w:val="single" w:sz="4" w:space="0" w:color="auto"/>
            </w:tcBorders>
            <w:shd w:val="clear" w:color="auto" w:fill="FF0000"/>
            <w:vAlign w:val="center"/>
          </w:tcPr>
          <w:p w14:paraId="7639C742" w14:textId="5D119697" w:rsidR="00B12D3F" w:rsidRPr="00BD7730" w:rsidRDefault="00C35427" w:rsidP="00B12D3F">
            <w:pPr>
              <w:tabs>
                <w:tab w:val="center" w:pos="4153"/>
                <w:tab w:val="right" w:pos="8306"/>
              </w:tabs>
              <w:jc w:val="center"/>
              <w:rPr>
                <w:color w:val="000000"/>
              </w:rPr>
            </w:pPr>
            <w:r>
              <w:rPr>
                <w:color w:val="000000"/>
              </w:rPr>
              <w:t>+</w:t>
            </w:r>
            <w:r w:rsidR="002E65D4">
              <w:rPr>
                <w:color w:val="000000"/>
              </w:rPr>
              <w:t>1</w:t>
            </w:r>
            <w:r w:rsidR="00563EB4">
              <w:rPr>
                <w:color w:val="000000"/>
              </w:rPr>
              <w:t>1</w:t>
            </w:r>
            <w:r>
              <w:rPr>
                <w:color w:val="000000"/>
              </w:rPr>
              <w:t>%</w:t>
            </w:r>
          </w:p>
        </w:tc>
        <w:tc>
          <w:tcPr>
            <w:tcW w:w="1134" w:type="dxa"/>
            <w:tcBorders>
              <w:bottom w:val="single" w:sz="4" w:space="0" w:color="auto"/>
            </w:tcBorders>
            <w:shd w:val="clear" w:color="auto" w:fill="00B050"/>
            <w:vAlign w:val="center"/>
          </w:tcPr>
          <w:p w14:paraId="219E32C7" w14:textId="362BF9E3" w:rsidR="00B12D3F" w:rsidRPr="00BD7730" w:rsidRDefault="00C35427" w:rsidP="00B12D3F">
            <w:pPr>
              <w:tabs>
                <w:tab w:val="center" w:pos="4153"/>
                <w:tab w:val="right" w:pos="8306"/>
              </w:tabs>
              <w:jc w:val="center"/>
              <w:rPr>
                <w:color w:val="000000"/>
              </w:rPr>
            </w:pPr>
            <w:r>
              <w:rPr>
                <w:color w:val="000000"/>
              </w:rPr>
              <w:t>-1</w:t>
            </w:r>
            <w:r w:rsidR="00563EB4">
              <w:rPr>
                <w:color w:val="000000"/>
              </w:rPr>
              <w:t>2</w:t>
            </w:r>
            <w:r>
              <w:rPr>
                <w:color w:val="000000"/>
              </w:rPr>
              <w:t>%</w:t>
            </w:r>
          </w:p>
        </w:tc>
        <w:tc>
          <w:tcPr>
            <w:tcW w:w="987" w:type="dxa"/>
            <w:tcBorders>
              <w:bottom w:val="single" w:sz="4" w:space="0" w:color="auto"/>
            </w:tcBorders>
            <w:shd w:val="clear" w:color="auto" w:fill="FF0000"/>
            <w:vAlign w:val="center"/>
          </w:tcPr>
          <w:p w14:paraId="4D0EC340" w14:textId="28C46936" w:rsidR="00B12D3F" w:rsidRPr="00BD7730" w:rsidRDefault="00C35427" w:rsidP="00B12D3F">
            <w:pPr>
              <w:tabs>
                <w:tab w:val="center" w:pos="4153"/>
                <w:tab w:val="right" w:pos="8306"/>
              </w:tabs>
              <w:jc w:val="center"/>
              <w:rPr>
                <w:color w:val="000000"/>
              </w:rPr>
            </w:pPr>
            <w:r>
              <w:rPr>
                <w:color w:val="000000"/>
              </w:rPr>
              <w:t>+</w:t>
            </w:r>
            <w:r w:rsidR="00563EB4">
              <w:rPr>
                <w:color w:val="000000"/>
              </w:rPr>
              <w:t>66</w:t>
            </w:r>
            <w:r>
              <w:rPr>
                <w:color w:val="000000"/>
              </w:rPr>
              <w:t>%</w:t>
            </w:r>
          </w:p>
        </w:tc>
        <w:tc>
          <w:tcPr>
            <w:tcW w:w="992" w:type="dxa"/>
            <w:tcBorders>
              <w:bottom w:val="single" w:sz="4" w:space="0" w:color="auto"/>
            </w:tcBorders>
            <w:shd w:val="clear" w:color="auto" w:fill="FF0000"/>
            <w:vAlign w:val="center"/>
          </w:tcPr>
          <w:p w14:paraId="4A65489D" w14:textId="67C4BF32" w:rsidR="00B12D3F" w:rsidRPr="00BD7730" w:rsidRDefault="00563EB4" w:rsidP="00B12D3F">
            <w:pPr>
              <w:tabs>
                <w:tab w:val="center" w:pos="4153"/>
                <w:tab w:val="right" w:pos="8306"/>
              </w:tabs>
              <w:jc w:val="center"/>
              <w:rPr>
                <w:color w:val="000000"/>
              </w:rPr>
            </w:pPr>
            <w:r>
              <w:rPr>
                <w:color w:val="000000"/>
              </w:rPr>
              <w:t>+8</w:t>
            </w:r>
            <w:r w:rsidR="00C35427">
              <w:rPr>
                <w:color w:val="000000"/>
              </w:rPr>
              <w:t>%</w:t>
            </w:r>
          </w:p>
        </w:tc>
        <w:tc>
          <w:tcPr>
            <w:tcW w:w="856" w:type="dxa"/>
            <w:tcBorders>
              <w:bottom w:val="single" w:sz="4" w:space="0" w:color="auto"/>
            </w:tcBorders>
            <w:shd w:val="clear" w:color="auto" w:fill="FF0000"/>
            <w:vAlign w:val="center"/>
          </w:tcPr>
          <w:p w14:paraId="2A9F8B20" w14:textId="2381D3CC" w:rsidR="00B12D3F" w:rsidRPr="00BD7730" w:rsidRDefault="00C35427" w:rsidP="00B12D3F">
            <w:pPr>
              <w:tabs>
                <w:tab w:val="center" w:pos="4153"/>
                <w:tab w:val="right" w:pos="8306"/>
              </w:tabs>
              <w:jc w:val="center"/>
              <w:rPr>
                <w:color w:val="000000"/>
              </w:rPr>
            </w:pPr>
            <w:r>
              <w:rPr>
                <w:color w:val="000000"/>
              </w:rPr>
              <w:t>+</w:t>
            </w:r>
            <w:r w:rsidR="00414407">
              <w:rPr>
                <w:color w:val="000000"/>
              </w:rPr>
              <w:t>54</w:t>
            </w:r>
            <w:r>
              <w:rPr>
                <w:color w:val="000000"/>
              </w:rPr>
              <w:t>%</w:t>
            </w:r>
          </w:p>
        </w:tc>
        <w:tc>
          <w:tcPr>
            <w:tcW w:w="992" w:type="dxa"/>
            <w:tcBorders>
              <w:bottom w:val="single" w:sz="4" w:space="0" w:color="auto"/>
            </w:tcBorders>
            <w:shd w:val="clear" w:color="auto" w:fill="FF0000"/>
            <w:vAlign w:val="center"/>
          </w:tcPr>
          <w:p w14:paraId="45A9072B" w14:textId="0F58AAF1" w:rsidR="00B12D3F" w:rsidRPr="00BD7730" w:rsidRDefault="00C35427" w:rsidP="00B12D3F">
            <w:pPr>
              <w:tabs>
                <w:tab w:val="center" w:pos="4153"/>
                <w:tab w:val="right" w:pos="8306"/>
              </w:tabs>
              <w:jc w:val="center"/>
              <w:rPr>
                <w:color w:val="000000"/>
              </w:rPr>
            </w:pPr>
            <w:r>
              <w:rPr>
                <w:color w:val="000000"/>
              </w:rPr>
              <w:t>+</w:t>
            </w:r>
            <w:r w:rsidR="00414407">
              <w:rPr>
                <w:color w:val="000000"/>
              </w:rPr>
              <w:t>2</w:t>
            </w:r>
            <w:r>
              <w:rPr>
                <w:color w:val="000000"/>
              </w:rPr>
              <w:t>%</w:t>
            </w:r>
          </w:p>
        </w:tc>
        <w:tc>
          <w:tcPr>
            <w:tcW w:w="992" w:type="dxa"/>
            <w:tcBorders>
              <w:bottom w:val="single" w:sz="4" w:space="0" w:color="auto"/>
            </w:tcBorders>
            <w:shd w:val="clear" w:color="auto" w:fill="FF0000"/>
            <w:vAlign w:val="center"/>
          </w:tcPr>
          <w:p w14:paraId="0084CD79" w14:textId="1145D85C" w:rsidR="00B12D3F" w:rsidRPr="00BD7730" w:rsidRDefault="002E65D4" w:rsidP="00B12D3F">
            <w:pPr>
              <w:tabs>
                <w:tab w:val="center" w:pos="4153"/>
                <w:tab w:val="right" w:pos="8306"/>
              </w:tabs>
              <w:jc w:val="center"/>
              <w:rPr>
                <w:color w:val="000000"/>
              </w:rPr>
            </w:pPr>
            <w:r>
              <w:rPr>
                <w:color w:val="000000"/>
              </w:rPr>
              <w:t>+</w:t>
            </w:r>
            <w:r w:rsidR="00414407">
              <w:rPr>
                <w:color w:val="000000"/>
              </w:rPr>
              <w:t>9</w:t>
            </w:r>
            <w:r w:rsidR="00C35427">
              <w:rPr>
                <w:color w:val="000000"/>
              </w:rPr>
              <w:t>%</w:t>
            </w:r>
          </w:p>
        </w:tc>
      </w:tr>
      <w:tr w:rsidR="002D6FC8" w14:paraId="44117F8C" w14:textId="77777777" w:rsidTr="00867AA9">
        <w:trPr>
          <w:jc w:val="center"/>
        </w:trPr>
        <w:tc>
          <w:tcPr>
            <w:tcW w:w="2122" w:type="dxa"/>
          </w:tcPr>
          <w:p w14:paraId="6F7E6AA4" w14:textId="77777777" w:rsidR="002D6FC8" w:rsidRPr="00C35427" w:rsidRDefault="002D6FC8" w:rsidP="002D6FC8">
            <w:pPr>
              <w:tabs>
                <w:tab w:val="center" w:pos="4153"/>
                <w:tab w:val="right" w:pos="8306"/>
              </w:tabs>
              <w:rPr>
                <w:b/>
                <w:highlight w:val="yellow"/>
              </w:rPr>
            </w:pPr>
            <w:r w:rsidRPr="00920535">
              <w:rPr>
                <w:b/>
              </w:rPr>
              <w:t>Delayed Discharge Bed Days Lost rate per 1,000 75+ (Standard)</w:t>
            </w:r>
          </w:p>
        </w:tc>
        <w:tc>
          <w:tcPr>
            <w:tcW w:w="992" w:type="dxa"/>
            <w:tcBorders>
              <w:bottom w:val="single" w:sz="4" w:space="0" w:color="auto"/>
            </w:tcBorders>
            <w:shd w:val="clear" w:color="auto" w:fill="FF0000"/>
            <w:vAlign w:val="center"/>
          </w:tcPr>
          <w:p w14:paraId="5FCE0F12" w14:textId="214DD22E" w:rsidR="002241FC" w:rsidRPr="00BD7730" w:rsidRDefault="00920535" w:rsidP="002D6FC8">
            <w:pPr>
              <w:tabs>
                <w:tab w:val="center" w:pos="4153"/>
                <w:tab w:val="right" w:pos="8306"/>
              </w:tabs>
              <w:jc w:val="center"/>
              <w:rPr>
                <w:color w:val="000000"/>
              </w:rPr>
            </w:pPr>
            <w:r>
              <w:rPr>
                <w:color w:val="000000"/>
              </w:rPr>
              <w:t>+</w:t>
            </w:r>
            <w:r w:rsidR="009E6E4C">
              <w:rPr>
                <w:color w:val="000000"/>
              </w:rPr>
              <w:t>2</w:t>
            </w:r>
            <w:r w:rsidR="00CB45F7">
              <w:rPr>
                <w:color w:val="000000"/>
              </w:rPr>
              <w:t>7</w:t>
            </w:r>
            <w:r w:rsidR="002241FC">
              <w:rPr>
                <w:color w:val="000000"/>
              </w:rPr>
              <w:t>%</w:t>
            </w:r>
          </w:p>
        </w:tc>
        <w:tc>
          <w:tcPr>
            <w:tcW w:w="992" w:type="dxa"/>
            <w:tcBorders>
              <w:bottom w:val="single" w:sz="4" w:space="0" w:color="auto"/>
            </w:tcBorders>
            <w:shd w:val="clear" w:color="auto" w:fill="00B050"/>
            <w:vAlign w:val="center"/>
          </w:tcPr>
          <w:p w14:paraId="7F251002" w14:textId="568A4AC8" w:rsidR="002241FC" w:rsidRPr="00BD7730" w:rsidRDefault="00CC46E1" w:rsidP="002D6FC8">
            <w:pPr>
              <w:tabs>
                <w:tab w:val="center" w:pos="4153"/>
                <w:tab w:val="right" w:pos="8306"/>
              </w:tabs>
              <w:jc w:val="center"/>
              <w:rPr>
                <w:color w:val="000000"/>
              </w:rPr>
            </w:pPr>
            <w:r>
              <w:rPr>
                <w:color w:val="000000"/>
              </w:rPr>
              <w:t>-13</w:t>
            </w:r>
            <w:r w:rsidR="002241FC">
              <w:rPr>
                <w:color w:val="000000"/>
              </w:rPr>
              <w:t>%</w:t>
            </w:r>
          </w:p>
        </w:tc>
        <w:tc>
          <w:tcPr>
            <w:tcW w:w="998" w:type="dxa"/>
            <w:tcBorders>
              <w:bottom w:val="single" w:sz="4" w:space="0" w:color="auto"/>
            </w:tcBorders>
            <w:shd w:val="clear" w:color="auto" w:fill="00B050"/>
            <w:vAlign w:val="center"/>
          </w:tcPr>
          <w:p w14:paraId="4BE42133" w14:textId="18FC616D" w:rsidR="002241FC" w:rsidRPr="00BD7730" w:rsidRDefault="00CC46E1" w:rsidP="002D6FC8">
            <w:pPr>
              <w:tabs>
                <w:tab w:val="center" w:pos="4153"/>
                <w:tab w:val="right" w:pos="8306"/>
              </w:tabs>
              <w:jc w:val="center"/>
              <w:rPr>
                <w:color w:val="000000"/>
              </w:rPr>
            </w:pPr>
            <w:r>
              <w:rPr>
                <w:color w:val="000000"/>
              </w:rPr>
              <w:t>-2</w:t>
            </w:r>
            <w:r w:rsidR="002241FC">
              <w:rPr>
                <w:color w:val="000000"/>
              </w:rPr>
              <w:t>%</w:t>
            </w:r>
          </w:p>
        </w:tc>
        <w:tc>
          <w:tcPr>
            <w:tcW w:w="1134" w:type="dxa"/>
            <w:tcBorders>
              <w:bottom w:val="single" w:sz="4" w:space="0" w:color="auto"/>
            </w:tcBorders>
            <w:shd w:val="clear" w:color="auto" w:fill="FF0000"/>
            <w:vAlign w:val="center"/>
          </w:tcPr>
          <w:p w14:paraId="09DA80C4" w14:textId="77275D49" w:rsidR="002241FC" w:rsidRPr="00BD7730" w:rsidRDefault="002241FC" w:rsidP="002D6FC8">
            <w:pPr>
              <w:tabs>
                <w:tab w:val="center" w:pos="4153"/>
                <w:tab w:val="right" w:pos="8306"/>
              </w:tabs>
              <w:jc w:val="center"/>
              <w:rPr>
                <w:color w:val="000000"/>
              </w:rPr>
            </w:pPr>
            <w:r>
              <w:rPr>
                <w:color w:val="000000"/>
              </w:rPr>
              <w:t>+</w:t>
            </w:r>
            <w:r w:rsidR="00056E2A">
              <w:rPr>
                <w:color w:val="000000"/>
              </w:rPr>
              <w:t>126</w:t>
            </w:r>
            <w:r>
              <w:rPr>
                <w:color w:val="000000"/>
              </w:rPr>
              <w:t>%</w:t>
            </w:r>
          </w:p>
        </w:tc>
        <w:tc>
          <w:tcPr>
            <w:tcW w:w="987" w:type="dxa"/>
            <w:tcBorders>
              <w:bottom w:val="single" w:sz="4" w:space="0" w:color="auto"/>
            </w:tcBorders>
            <w:shd w:val="clear" w:color="auto" w:fill="00B050"/>
            <w:vAlign w:val="center"/>
          </w:tcPr>
          <w:p w14:paraId="1E8A8D83" w14:textId="0D8DAA92" w:rsidR="002241FC" w:rsidRPr="00BD7730" w:rsidRDefault="00CB45F7" w:rsidP="002D6FC8">
            <w:pPr>
              <w:tabs>
                <w:tab w:val="center" w:pos="4153"/>
                <w:tab w:val="right" w:pos="8306"/>
              </w:tabs>
              <w:jc w:val="center"/>
              <w:rPr>
                <w:color w:val="000000"/>
              </w:rPr>
            </w:pPr>
            <w:r>
              <w:rPr>
                <w:color w:val="000000"/>
              </w:rPr>
              <w:t>-</w:t>
            </w:r>
            <w:r w:rsidR="00056E2A">
              <w:rPr>
                <w:color w:val="000000"/>
              </w:rPr>
              <w:t>44</w:t>
            </w:r>
            <w:r w:rsidR="002241FC">
              <w:rPr>
                <w:color w:val="000000"/>
              </w:rPr>
              <w:t>%</w:t>
            </w:r>
          </w:p>
        </w:tc>
        <w:tc>
          <w:tcPr>
            <w:tcW w:w="992" w:type="dxa"/>
            <w:tcBorders>
              <w:bottom w:val="single" w:sz="4" w:space="0" w:color="auto"/>
            </w:tcBorders>
            <w:shd w:val="clear" w:color="auto" w:fill="00B050"/>
            <w:vAlign w:val="center"/>
          </w:tcPr>
          <w:p w14:paraId="446397CE" w14:textId="2AF4E017" w:rsidR="002241FC" w:rsidRPr="00BD7730" w:rsidRDefault="00056E2A" w:rsidP="002D6FC8">
            <w:pPr>
              <w:tabs>
                <w:tab w:val="center" w:pos="4153"/>
                <w:tab w:val="right" w:pos="8306"/>
              </w:tabs>
              <w:jc w:val="center"/>
              <w:rPr>
                <w:color w:val="000000"/>
              </w:rPr>
            </w:pPr>
            <w:r>
              <w:rPr>
                <w:color w:val="000000"/>
              </w:rPr>
              <w:t>-9</w:t>
            </w:r>
            <w:r w:rsidR="00CB45F7">
              <w:rPr>
                <w:color w:val="000000"/>
              </w:rPr>
              <w:t>%</w:t>
            </w:r>
          </w:p>
        </w:tc>
        <w:tc>
          <w:tcPr>
            <w:tcW w:w="856" w:type="dxa"/>
            <w:tcBorders>
              <w:bottom w:val="single" w:sz="4" w:space="0" w:color="auto"/>
            </w:tcBorders>
            <w:shd w:val="clear" w:color="auto" w:fill="FF0000"/>
            <w:vAlign w:val="center"/>
          </w:tcPr>
          <w:p w14:paraId="3BC3A309" w14:textId="6E434674" w:rsidR="002241FC" w:rsidRPr="00BD7730" w:rsidRDefault="002241FC" w:rsidP="002D6FC8">
            <w:pPr>
              <w:tabs>
                <w:tab w:val="center" w:pos="4153"/>
                <w:tab w:val="right" w:pos="8306"/>
              </w:tabs>
              <w:jc w:val="center"/>
              <w:rPr>
                <w:color w:val="000000"/>
              </w:rPr>
            </w:pPr>
            <w:r>
              <w:rPr>
                <w:color w:val="000000"/>
              </w:rPr>
              <w:t>+</w:t>
            </w:r>
            <w:r w:rsidR="00AD483E">
              <w:rPr>
                <w:color w:val="000000"/>
              </w:rPr>
              <w:t>13</w:t>
            </w:r>
            <w:r>
              <w:rPr>
                <w:color w:val="000000"/>
              </w:rPr>
              <w:t>%</w:t>
            </w:r>
          </w:p>
        </w:tc>
        <w:tc>
          <w:tcPr>
            <w:tcW w:w="992" w:type="dxa"/>
            <w:tcBorders>
              <w:bottom w:val="single" w:sz="4" w:space="0" w:color="auto"/>
            </w:tcBorders>
            <w:shd w:val="clear" w:color="auto" w:fill="FF0000"/>
            <w:vAlign w:val="center"/>
          </w:tcPr>
          <w:p w14:paraId="5B526B02" w14:textId="6C35D40F" w:rsidR="002241FC" w:rsidRPr="00BD7730" w:rsidRDefault="002241FC" w:rsidP="002D6FC8">
            <w:pPr>
              <w:tabs>
                <w:tab w:val="center" w:pos="4153"/>
                <w:tab w:val="right" w:pos="8306"/>
              </w:tabs>
              <w:jc w:val="center"/>
              <w:rPr>
                <w:color w:val="000000"/>
              </w:rPr>
            </w:pPr>
            <w:r>
              <w:rPr>
                <w:color w:val="000000"/>
              </w:rPr>
              <w:t>+</w:t>
            </w:r>
            <w:r w:rsidR="00CB45F7">
              <w:rPr>
                <w:color w:val="000000"/>
              </w:rPr>
              <w:t>4</w:t>
            </w:r>
            <w:r w:rsidR="00AD483E">
              <w:rPr>
                <w:color w:val="000000"/>
              </w:rPr>
              <w:t>5</w:t>
            </w:r>
            <w:r>
              <w:rPr>
                <w:color w:val="000000"/>
              </w:rPr>
              <w:t>%</w:t>
            </w:r>
          </w:p>
        </w:tc>
        <w:tc>
          <w:tcPr>
            <w:tcW w:w="992" w:type="dxa"/>
            <w:tcBorders>
              <w:bottom w:val="single" w:sz="4" w:space="0" w:color="auto"/>
            </w:tcBorders>
            <w:shd w:val="clear" w:color="auto" w:fill="FF0000"/>
            <w:vAlign w:val="center"/>
          </w:tcPr>
          <w:p w14:paraId="03E0044C" w14:textId="5873FABE" w:rsidR="002241FC" w:rsidRPr="00BD7730" w:rsidRDefault="6BF02D1E" w:rsidP="002D6FC8">
            <w:pPr>
              <w:tabs>
                <w:tab w:val="center" w:pos="4153"/>
                <w:tab w:val="right" w:pos="8306"/>
              </w:tabs>
              <w:jc w:val="center"/>
              <w:rPr>
                <w:color w:val="000000"/>
              </w:rPr>
            </w:pPr>
            <w:r w:rsidRPr="0842DDBE">
              <w:rPr>
                <w:color w:val="000000" w:themeColor="text1"/>
              </w:rPr>
              <w:t>+</w:t>
            </w:r>
            <w:r w:rsidR="0068696A">
              <w:rPr>
                <w:color w:val="000000" w:themeColor="text1"/>
              </w:rPr>
              <w:t>90</w:t>
            </w:r>
            <w:r w:rsidR="00CB45F7">
              <w:rPr>
                <w:color w:val="000000" w:themeColor="text1"/>
              </w:rPr>
              <w:t>%</w:t>
            </w:r>
          </w:p>
        </w:tc>
      </w:tr>
      <w:tr w:rsidR="002D6FC8" w14:paraId="3F04AA78" w14:textId="77777777" w:rsidTr="00867AA9">
        <w:trPr>
          <w:jc w:val="center"/>
        </w:trPr>
        <w:tc>
          <w:tcPr>
            <w:tcW w:w="2122" w:type="dxa"/>
          </w:tcPr>
          <w:p w14:paraId="6E56F094" w14:textId="77777777" w:rsidR="002D6FC8" w:rsidRPr="00C35427" w:rsidRDefault="002D6FC8" w:rsidP="002D6FC8">
            <w:pPr>
              <w:tabs>
                <w:tab w:val="center" w:pos="4153"/>
                <w:tab w:val="right" w:pos="8306"/>
              </w:tabs>
              <w:rPr>
                <w:b/>
                <w:highlight w:val="yellow"/>
              </w:rPr>
            </w:pPr>
            <w:r w:rsidRPr="00920535">
              <w:rPr>
                <w:b/>
              </w:rPr>
              <w:t>Delayed Discharge Bed Days Lost rate per 1,000 75</w:t>
            </w:r>
            <w:proofErr w:type="gramStart"/>
            <w:r w:rsidRPr="00920535">
              <w:rPr>
                <w:b/>
              </w:rPr>
              <w:t>+  (</w:t>
            </w:r>
            <w:proofErr w:type="gramEnd"/>
            <w:r w:rsidRPr="00920535">
              <w:rPr>
                <w:b/>
              </w:rPr>
              <w:t>Code 9)</w:t>
            </w:r>
          </w:p>
        </w:tc>
        <w:tc>
          <w:tcPr>
            <w:tcW w:w="992" w:type="dxa"/>
            <w:shd w:val="clear" w:color="auto" w:fill="00B050"/>
            <w:vAlign w:val="center"/>
          </w:tcPr>
          <w:p w14:paraId="18584BFD" w14:textId="516ABC1D" w:rsidR="002241FC" w:rsidRDefault="00426018" w:rsidP="002D6FC8">
            <w:pPr>
              <w:tabs>
                <w:tab w:val="center" w:pos="4153"/>
                <w:tab w:val="right" w:pos="8306"/>
              </w:tabs>
              <w:jc w:val="center"/>
              <w:rPr>
                <w:color w:val="000000"/>
              </w:rPr>
            </w:pPr>
            <w:r>
              <w:rPr>
                <w:color w:val="000000"/>
              </w:rPr>
              <w:t>-</w:t>
            </w:r>
            <w:r w:rsidR="006E260E">
              <w:rPr>
                <w:color w:val="000000"/>
              </w:rPr>
              <w:t>25</w:t>
            </w:r>
            <w:r w:rsidR="002241FC">
              <w:rPr>
                <w:color w:val="000000"/>
              </w:rPr>
              <w:t>%</w:t>
            </w:r>
          </w:p>
        </w:tc>
        <w:tc>
          <w:tcPr>
            <w:tcW w:w="992" w:type="dxa"/>
            <w:shd w:val="clear" w:color="auto" w:fill="00B050"/>
            <w:vAlign w:val="center"/>
          </w:tcPr>
          <w:p w14:paraId="0E67E3E2" w14:textId="632482A3" w:rsidR="002241FC" w:rsidRDefault="00753127" w:rsidP="002D6FC8">
            <w:pPr>
              <w:tabs>
                <w:tab w:val="center" w:pos="4153"/>
                <w:tab w:val="right" w:pos="8306"/>
              </w:tabs>
              <w:jc w:val="center"/>
              <w:rPr>
                <w:color w:val="000000"/>
              </w:rPr>
            </w:pPr>
            <w:r>
              <w:rPr>
                <w:color w:val="000000"/>
              </w:rPr>
              <w:t>-</w:t>
            </w:r>
            <w:r w:rsidR="00BD5B07">
              <w:rPr>
                <w:color w:val="000000"/>
              </w:rPr>
              <w:t>36</w:t>
            </w:r>
            <w:r>
              <w:rPr>
                <w:color w:val="000000"/>
              </w:rPr>
              <w:t>%</w:t>
            </w:r>
          </w:p>
        </w:tc>
        <w:tc>
          <w:tcPr>
            <w:tcW w:w="998" w:type="dxa"/>
            <w:shd w:val="clear" w:color="auto" w:fill="FF0000"/>
            <w:vAlign w:val="center"/>
          </w:tcPr>
          <w:p w14:paraId="429E06B4" w14:textId="469114DB" w:rsidR="00753127" w:rsidRDefault="00753127" w:rsidP="002D6FC8">
            <w:pPr>
              <w:tabs>
                <w:tab w:val="center" w:pos="4153"/>
                <w:tab w:val="right" w:pos="8306"/>
              </w:tabs>
              <w:jc w:val="center"/>
              <w:rPr>
                <w:color w:val="000000"/>
              </w:rPr>
            </w:pPr>
            <w:r>
              <w:rPr>
                <w:color w:val="000000"/>
              </w:rPr>
              <w:t>+</w:t>
            </w:r>
            <w:r w:rsidR="009832AA">
              <w:rPr>
                <w:color w:val="000000"/>
              </w:rPr>
              <w:t>213</w:t>
            </w:r>
            <w:r>
              <w:rPr>
                <w:color w:val="000000"/>
              </w:rPr>
              <w:t>%</w:t>
            </w:r>
          </w:p>
        </w:tc>
        <w:tc>
          <w:tcPr>
            <w:tcW w:w="1134" w:type="dxa"/>
            <w:shd w:val="clear" w:color="auto" w:fill="00B050"/>
            <w:vAlign w:val="center"/>
          </w:tcPr>
          <w:p w14:paraId="43740AAC" w14:textId="50F81C3E" w:rsidR="00753127" w:rsidRDefault="00753127" w:rsidP="002D6FC8">
            <w:pPr>
              <w:tabs>
                <w:tab w:val="center" w:pos="4153"/>
                <w:tab w:val="right" w:pos="8306"/>
              </w:tabs>
              <w:jc w:val="center"/>
              <w:rPr>
                <w:color w:val="000000"/>
              </w:rPr>
            </w:pPr>
            <w:r>
              <w:rPr>
                <w:color w:val="000000"/>
              </w:rPr>
              <w:t>-</w:t>
            </w:r>
            <w:r w:rsidR="00426018">
              <w:rPr>
                <w:color w:val="000000"/>
              </w:rPr>
              <w:t>80</w:t>
            </w:r>
            <w:r>
              <w:rPr>
                <w:color w:val="000000"/>
              </w:rPr>
              <w:t>%</w:t>
            </w:r>
          </w:p>
        </w:tc>
        <w:tc>
          <w:tcPr>
            <w:tcW w:w="987" w:type="dxa"/>
            <w:shd w:val="clear" w:color="auto" w:fill="00B050"/>
            <w:vAlign w:val="center"/>
          </w:tcPr>
          <w:p w14:paraId="55CA35CF" w14:textId="58A52D53" w:rsidR="00753127" w:rsidRDefault="00426018" w:rsidP="002D6FC8">
            <w:pPr>
              <w:tabs>
                <w:tab w:val="center" w:pos="4153"/>
                <w:tab w:val="right" w:pos="8306"/>
              </w:tabs>
              <w:jc w:val="center"/>
              <w:rPr>
                <w:color w:val="000000"/>
              </w:rPr>
            </w:pPr>
            <w:r>
              <w:rPr>
                <w:color w:val="000000"/>
              </w:rPr>
              <w:t>-</w:t>
            </w:r>
            <w:r w:rsidR="009832AA">
              <w:rPr>
                <w:color w:val="000000"/>
              </w:rPr>
              <w:t>100</w:t>
            </w:r>
            <w:r w:rsidR="00753127">
              <w:rPr>
                <w:color w:val="000000"/>
              </w:rPr>
              <w:t>%</w:t>
            </w:r>
          </w:p>
        </w:tc>
        <w:tc>
          <w:tcPr>
            <w:tcW w:w="992" w:type="dxa"/>
            <w:shd w:val="clear" w:color="auto" w:fill="00B050"/>
            <w:vAlign w:val="center"/>
          </w:tcPr>
          <w:p w14:paraId="497F316C" w14:textId="19A364A1" w:rsidR="00753127" w:rsidRDefault="00477BED" w:rsidP="002D6FC8">
            <w:pPr>
              <w:tabs>
                <w:tab w:val="center" w:pos="4153"/>
                <w:tab w:val="right" w:pos="8306"/>
              </w:tabs>
              <w:jc w:val="center"/>
              <w:rPr>
                <w:color w:val="000000"/>
              </w:rPr>
            </w:pPr>
            <w:r>
              <w:rPr>
                <w:color w:val="000000"/>
              </w:rPr>
              <w:t>-8</w:t>
            </w:r>
            <w:r w:rsidR="00426018">
              <w:rPr>
                <w:color w:val="000000"/>
              </w:rPr>
              <w:t>%</w:t>
            </w:r>
          </w:p>
        </w:tc>
        <w:tc>
          <w:tcPr>
            <w:tcW w:w="856" w:type="dxa"/>
            <w:shd w:val="clear" w:color="auto" w:fill="00B050"/>
            <w:vAlign w:val="center"/>
          </w:tcPr>
          <w:p w14:paraId="2F97D34D" w14:textId="2898CAA3" w:rsidR="00753127" w:rsidRDefault="00362270" w:rsidP="002D6FC8">
            <w:pPr>
              <w:tabs>
                <w:tab w:val="center" w:pos="4153"/>
                <w:tab w:val="right" w:pos="8306"/>
              </w:tabs>
              <w:jc w:val="center"/>
              <w:rPr>
                <w:color w:val="000000"/>
              </w:rPr>
            </w:pPr>
            <w:r>
              <w:rPr>
                <w:color w:val="000000"/>
              </w:rPr>
              <w:t>-81</w:t>
            </w:r>
            <w:r w:rsidR="00753127">
              <w:rPr>
                <w:color w:val="000000"/>
              </w:rPr>
              <w:t>%</w:t>
            </w:r>
          </w:p>
        </w:tc>
        <w:tc>
          <w:tcPr>
            <w:tcW w:w="992" w:type="dxa"/>
            <w:shd w:val="clear" w:color="auto" w:fill="FF0000"/>
            <w:vAlign w:val="center"/>
          </w:tcPr>
          <w:p w14:paraId="6E920D5B" w14:textId="2B08600C" w:rsidR="00753127" w:rsidRDefault="00753127" w:rsidP="002D6FC8">
            <w:pPr>
              <w:tabs>
                <w:tab w:val="center" w:pos="4153"/>
                <w:tab w:val="right" w:pos="8306"/>
              </w:tabs>
              <w:jc w:val="center"/>
              <w:rPr>
                <w:color w:val="000000"/>
              </w:rPr>
            </w:pPr>
            <w:r>
              <w:rPr>
                <w:color w:val="000000"/>
              </w:rPr>
              <w:t>+</w:t>
            </w:r>
            <w:r w:rsidR="00362270">
              <w:rPr>
                <w:color w:val="000000"/>
              </w:rPr>
              <w:t>10</w:t>
            </w:r>
            <w:r w:rsidR="00426018">
              <w:rPr>
                <w:color w:val="000000"/>
              </w:rPr>
              <w:t>3</w:t>
            </w:r>
            <w:r>
              <w:rPr>
                <w:color w:val="000000"/>
              </w:rPr>
              <w:t>%</w:t>
            </w:r>
          </w:p>
        </w:tc>
        <w:tc>
          <w:tcPr>
            <w:tcW w:w="992" w:type="dxa"/>
            <w:shd w:val="clear" w:color="auto" w:fill="00B050"/>
            <w:vAlign w:val="center"/>
          </w:tcPr>
          <w:p w14:paraId="74175AD6" w14:textId="3491BBE8" w:rsidR="00753127" w:rsidRDefault="6082319F" w:rsidP="002D6FC8">
            <w:pPr>
              <w:tabs>
                <w:tab w:val="center" w:pos="4153"/>
                <w:tab w:val="right" w:pos="8306"/>
              </w:tabs>
              <w:jc w:val="center"/>
              <w:rPr>
                <w:color w:val="000000"/>
              </w:rPr>
            </w:pPr>
            <w:r w:rsidRPr="0842DDBE">
              <w:rPr>
                <w:color w:val="000000" w:themeColor="text1"/>
              </w:rPr>
              <w:t>-</w:t>
            </w:r>
            <w:r w:rsidR="00426018">
              <w:rPr>
                <w:color w:val="000000" w:themeColor="text1"/>
              </w:rPr>
              <w:t>100%</w:t>
            </w:r>
          </w:p>
        </w:tc>
      </w:tr>
    </w:tbl>
    <w:p w14:paraId="148B5D93" w14:textId="582732C8" w:rsidR="00503CF7" w:rsidRDefault="00503CF7" w:rsidP="00503CF7">
      <w:pPr>
        <w:spacing w:after="160" w:line="259" w:lineRule="auto"/>
        <w:rPr>
          <w:color w:val="000000"/>
        </w:rPr>
      </w:pPr>
      <w:r w:rsidRPr="00982B55">
        <w:rPr>
          <w:rFonts w:cs="Arial"/>
        </w:rPr>
        <w:t>Source:</w:t>
      </w:r>
      <w:r w:rsidRPr="00982B55">
        <w:rPr>
          <w:color w:val="000000"/>
        </w:rPr>
        <w:t xml:space="preserve"> NHS Tayside </w:t>
      </w:r>
      <w:r>
        <w:rPr>
          <w:color w:val="000000"/>
        </w:rPr>
        <w:t xml:space="preserve">BSU </w:t>
      </w:r>
    </w:p>
    <w:p w14:paraId="72DA9BDA" w14:textId="77777777" w:rsidR="00503CF7" w:rsidRDefault="00503CF7" w:rsidP="00503CF7">
      <w:pPr>
        <w:spacing w:after="160" w:line="259" w:lineRule="auto"/>
        <w:rPr>
          <w:color w:val="000000"/>
        </w:rPr>
      </w:pPr>
      <w:r w:rsidRPr="4C071F3D">
        <w:rPr>
          <w:color w:val="000000" w:themeColor="text1"/>
        </w:rPr>
        <w:t xml:space="preserve">Note:  This table shows the Dundee position alongside the position for the 8 LCPPs.  Where the LCPP position is poorer than Dundee this is coded as red (worse than Dundee) and where the LCPP position is better than Dundee this is coded as green.  </w:t>
      </w:r>
    </w:p>
    <w:p w14:paraId="7A390096" w14:textId="77777777" w:rsidR="00503CF7" w:rsidRPr="009F1AEE" w:rsidRDefault="00503CF7" w:rsidP="00503CF7">
      <w:pPr>
        <w:spacing w:after="160" w:line="259" w:lineRule="auto"/>
        <w:rPr>
          <w:b/>
        </w:rPr>
      </w:pPr>
      <w:r>
        <w:rPr>
          <w:noProof/>
          <w:lang w:eastAsia="en-GB"/>
        </w:rPr>
        <mc:AlternateContent>
          <mc:Choice Requires="wps">
            <w:drawing>
              <wp:anchor distT="0" distB="0" distL="114300" distR="114300" simplePos="0" relativeHeight="251658247" behindDoc="0" locked="0" layoutInCell="1" allowOverlap="1" wp14:anchorId="47BF66C9" wp14:editId="14D71240">
                <wp:simplePos x="0" y="0"/>
                <wp:positionH relativeFrom="column">
                  <wp:posOffset>4029075</wp:posOffset>
                </wp:positionH>
                <wp:positionV relativeFrom="paragraph">
                  <wp:posOffset>12065</wp:posOffset>
                </wp:positionV>
                <wp:extent cx="504825" cy="219075"/>
                <wp:effectExtent l="0" t="0" r="9525"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786CC" id="Rectangle 13" o:spid="_x0000_s1026" style="position:absolute;margin-left:317.25pt;margin-top:.95pt;width:39.75pt;height:17.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" fillcolor="red"/>
            </w:pict>
          </mc:Fallback>
        </mc:AlternateContent>
      </w:r>
      <w:r>
        <w:rPr>
          <w:noProof/>
          <w:lang w:eastAsia="en-GB"/>
        </w:rPr>
        <mc:AlternateContent>
          <mc:Choice Requires="wps">
            <w:drawing>
              <wp:anchor distT="0" distB="0" distL="114300" distR="114300" simplePos="0" relativeHeight="251658246" behindDoc="0" locked="0" layoutInCell="1" allowOverlap="1" wp14:anchorId="19E3E3F0" wp14:editId="56AC3AFD">
                <wp:simplePos x="0" y="0"/>
                <wp:positionH relativeFrom="column">
                  <wp:posOffset>2209800</wp:posOffset>
                </wp:positionH>
                <wp:positionV relativeFrom="paragraph">
                  <wp:posOffset>12065</wp:posOffset>
                </wp:positionV>
                <wp:extent cx="504825" cy="219075"/>
                <wp:effectExtent l="0" t="0" r="9525"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12416" id="Rectangle 15" o:spid="_x0000_s1026" style="position:absolute;margin-left:174pt;margin-top:.95pt;width:39.75pt;height:17.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" fillcolor="#ffc000"/>
            </w:pict>
          </mc:Fallback>
        </mc:AlternateContent>
      </w:r>
      <w:r>
        <w:rPr>
          <w:noProof/>
          <w:lang w:eastAsia="en-GB"/>
        </w:rPr>
        <mc:AlternateContent>
          <mc:Choice Requires="wps">
            <w:drawing>
              <wp:anchor distT="0" distB="0" distL="114300" distR="114300" simplePos="0" relativeHeight="251658245" behindDoc="0" locked="0" layoutInCell="1" allowOverlap="1" wp14:anchorId="285FDCB8" wp14:editId="00A34C66">
                <wp:simplePos x="0" y="0"/>
                <wp:positionH relativeFrom="column">
                  <wp:posOffset>514350</wp:posOffset>
                </wp:positionH>
                <wp:positionV relativeFrom="paragraph">
                  <wp:posOffset>21590</wp:posOffset>
                </wp:positionV>
                <wp:extent cx="504825" cy="219075"/>
                <wp:effectExtent l="0" t="0" r="952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A28B9" id="Rectangle 16" o:spid="_x0000_s1026" style="position:absolute;margin-left:40.5pt;margin-top:1.7pt;width:39.75pt;height:1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" fillcolor="#00b050"/>
            </w:pict>
          </mc:Fallback>
        </mc:AlternateContent>
      </w:r>
      <w:r>
        <w:rPr>
          <w:color w:val="000000"/>
        </w:rPr>
        <w:t xml:space="preserve">Key:                         </w:t>
      </w:r>
      <w:r>
        <w:t>Improved/Better                       Stayed the same                        Declined/Worse</w:t>
      </w:r>
    </w:p>
    <w:p w14:paraId="77D88050" w14:textId="77777777" w:rsidR="00503CF7" w:rsidRDefault="00503CF7" w:rsidP="00503CF7">
      <w:pPr>
        <w:jc w:val="both"/>
        <w:rPr>
          <w:rFonts w:cs="Arial"/>
          <w:b/>
          <w:sz w:val="22"/>
          <w:szCs w:val="22"/>
        </w:rPr>
      </w:pPr>
    </w:p>
    <w:p w14:paraId="30AFD50F" w14:textId="01FFF950" w:rsidR="00503CF7" w:rsidRDefault="00503CF7">
      <w:pPr>
        <w:spacing w:after="160" w:line="259" w:lineRule="auto"/>
        <w:rPr>
          <w:sz w:val="22"/>
          <w:szCs w:val="22"/>
        </w:rPr>
      </w:pPr>
      <w:r>
        <w:rPr>
          <w:sz w:val="22"/>
          <w:szCs w:val="22"/>
        </w:rPr>
        <w:br w:type="page"/>
      </w:r>
    </w:p>
    <w:p w14:paraId="540C31AD" w14:textId="77777777" w:rsidR="00503CF7" w:rsidRDefault="00503CF7">
      <w:pPr>
        <w:spacing w:after="160" w:line="259" w:lineRule="auto"/>
        <w:rPr>
          <w:b/>
          <w:sz w:val="22"/>
          <w:szCs w:val="22"/>
        </w:rPr>
      </w:pPr>
    </w:p>
    <w:p w14:paraId="2FBC0447" w14:textId="4A96EDA5" w:rsidR="00D15AE4" w:rsidRPr="00C05614" w:rsidRDefault="00D15AE4" w:rsidP="00D15AE4">
      <w:pPr>
        <w:pStyle w:val="Heading1"/>
        <w:rPr>
          <w:sz w:val="22"/>
          <w:szCs w:val="22"/>
        </w:rPr>
      </w:pPr>
      <w:r w:rsidRPr="6CB3F99A">
        <w:rPr>
          <w:sz w:val="22"/>
          <w:szCs w:val="22"/>
        </w:rPr>
        <w:t xml:space="preserve">Table </w:t>
      </w:r>
      <w:r w:rsidR="003016A7" w:rsidRPr="6CB3F99A">
        <w:rPr>
          <w:sz w:val="22"/>
          <w:szCs w:val="22"/>
        </w:rPr>
        <w:t>2</w:t>
      </w:r>
      <w:r w:rsidRPr="6CB3F99A">
        <w:rPr>
          <w:sz w:val="22"/>
          <w:szCs w:val="22"/>
        </w:rPr>
        <w:t xml:space="preserve">: Performance in Dundee’s LCPPs - LCPP Performance in </w:t>
      </w:r>
      <w:r w:rsidRPr="6CB3F99A">
        <w:rPr>
          <w:sz w:val="22"/>
          <w:szCs w:val="22"/>
          <w:lang w:val="en-US"/>
        </w:rPr>
        <w:t>Q</w:t>
      </w:r>
      <w:r w:rsidR="00D85CC7">
        <w:rPr>
          <w:sz w:val="22"/>
          <w:szCs w:val="22"/>
          <w:lang w:val="en-US"/>
        </w:rPr>
        <w:t>4</w:t>
      </w:r>
      <w:r w:rsidRPr="6CB3F99A">
        <w:rPr>
          <w:sz w:val="22"/>
          <w:szCs w:val="22"/>
          <w:lang w:val="en-US"/>
        </w:rPr>
        <w:t xml:space="preserve"> </w:t>
      </w:r>
      <w:r w:rsidRPr="6CB3F99A">
        <w:rPr>
          <w:sz w:val="22"/>
          <w:szCs w:val="22"/>
        </w:rPr>
        <w:t>202</w:t>
      </w:r>
      <w:r w:rsidR="00A36ECA" w:rsidRPr="6CB3F99A">
        <w:rPr>
          <w:sz w:val="22"/>
          <w:szCs w:val="22"/>
        </w:rPr>
        <w:t>3-24</w:t>
      </w:r>
      <w:r w:rsidRPr="6CB3F99A">
        <w:rPr>
          <w:sz w:val="22"/>
          <w:szCs w:val="22"/>
        </w:rPr>
        <w:t xml:space="preserve"> compared to Dundee</w:t>
      </w:r>
    </w:p>
    <w:p w14:paraId="5AFCEC03" w14:textId="1E21317E" w:rsidR="00D15AE4" w:rsidRDefault="00F71901" w:rsidP="00D15AE4">
      <w:r>
        <w:rPr>
          <w:noProof/>
          <w:color w:val="000000"/>
          <w:lang w:eastAsia="en-GB"/>
        </w:rPr>
        <mc:AlternateContent>
          <mc:Choice Requires="wps">
            <w:drawing>
              <wp:anchor distT="0" distB="0" distL="114300" distR="114300" simplePos="0" relativeHeight="251658240" behindDoc="0" locked="0" layoutInCell="1" allowOverlap="1" wp14:anchorId="783A656D" wp14:editId="3DC087A9">
                <wp:simplePos x="0" y="0"/>
                <wp:positionH relativeFrom="column">
                  <wp:posOffset>1375410</wp:posOffset>
                </wp:positionH>
                <wp:positionV relativeFrom="paragraph">
                  <wp:posOffset>29845</wp:posOffset>
                </wp:positionV>
                <wp:extent cx="4962525" cy="495300"/>
                <wp:effectExtent l="19050" t="19050" r="9525" b="19050"/>
                <wp:wrapNone/>
                <wp:docPr id="14" name="Lef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62525" cy="495300"/>
                        </a:xfrm>
                        <a:prstGeom prst="leftArrow">
                          <a:avLst/>
                        </a:prstGeom>
                        <a:gradFill flip="none" rotWithShape="1">
                          <a:gsLst>
                            <a:gs pos="0">
                              <a:srgbClr val="FF0000"/>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362C94C1" w14:textId="77777777" w:rsidR="00CF6751" w:rsidRPr="008814BA" w:rsidRDefault="00CF6751" w:rsidP="00D15AE4">
                            <w:pPr>
                              <w:rPr>
                                <w:color w:val="002060"/>
                              </w:rPr>
                            </w:pPr>
                            <w:r w:rsidRPr="000E2F9A">
                              <w:rPr>
                                <w:b/>
                                <w:color w:val="002060"/>
                              </w:rPr>
                              <w:t xml:space="preserve">Most Deprived                                </w:t>
                            </w:r>
                            <w:r>
                              <w:rPr>
                                <w:b/>
                                <w:color w:val="002060"/>
                              </w:rPr>
                              <w:t xml:space="preserve">                                                </w:t>
                            </w:r>
                            <w:r w:rsidRPr="000E2F9A">
                              <w:rPr>
                                <w:b/>
                                <w:color w:val="002060"/>
                              </w:rPr>
                              <w:t xml:space="preserve">    </w:t>
                            </w:r>
                            <w:r>
                              <w:rPr>
                                <w:b/>
                                <w:color w:val="002060"/>
                              </w:rPr>
                              <w:t>Least Deprived</w:t>
                            </w:r>
                            <w:r w:rsidRPr="000E2F9A">
                              <w:rPr>
                                <w:b/>
                                <w:color w:val="002060"/>
                              </w:rPr>
                              <w:t xml:space="preserve">                                                </w:t>
                            </w:r>
                            <w:r>
                              <w:rPr>
                                <w:b/>
                                <w:color w:val="002060"/>
                              </w:rPr>
                              <w:t xml:space="preserve">      </w:t>
                            </w:r>
                            <w:r w:rsidRPr="000E2F9A">
                              <w:rPr>
                                <w:b/>
                                <w:color w:val="002060"/>
                              </w:rPr>
                              <w:t xml:space="preserve">          </w:t>
                            </w:r>
                            <w:r w:rsidRPr="000E2F9A">
                              <w:rPr>
                                <w:b/>
                                <w:color w:val="002060"/>
                              </w:rPr>
                              <w:t>LeastDeprived</w:t>
                            </w:r>
                          </w:p>
                          <w:p w14:paraId="675389A7" w14:textId="77777777" w:rsidR="00CF6751" w:rsidRPr="000E2F9A" w:rsidRDefault="00CF6751" w:rsidP="00D15A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A656D" id="Left Arrow 9" o:spid="_x0000_s1027" type="#_x0000_t66" style="position:absolute;margin-left:108.3pt;margin-top:2.35pt;width:390.7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" adj="1078" fillcolor="red" strokecolor="#1f4d78 [1604]" strokeweight="1pt">
                <v:fill color2="#cde0f2 [980]" rotate="t" angle="90" colors="0 red;48497f #b5d2ec;54395f #b5d2ec;1 #cee1f2" focus="100%" type="gradient"/>
                <v:path arrowok="t"/>
                <v:textbox>
                  <w:txbxContent>
                    <w:p w14:paraId="362C94C1" w14:textId="77777777" w:rsidR="00CF6751" w:rsidRPr="008814BA" w:rsidRDefault="00CF6751" w:rsidP="00D15AE4">
                      <w:pPr>
                        <w:rPr>
                          <w:color w:val="002060"/>
                        </w:rPr>
                      </w:pPr>
                      <w:r w:rsidRPr="000E2F9A">
                        <w:rPr>
                          <w:b/>
                          <w:color w:val="002060"/>
                        </w:rPr>
                        <w:t xml:space="preserve">Most Deprived                                </w:t>
                      </w:r>
                      <w:r>
                        <w:rPr>
                          <w:b/>
                          <w:color w:val="002060"/>
                        </w:rPr>
                        <w:t xml:space="preserve">                                                </w:t>
                      </w:r>
                      <w:r w:rsidRPr="000E2F9A">
                        <w:rPr>
                          <w:b/>
                          <w:color w:val="002060"/>
                        </w:rPr>
                        <w:t xml:space="preserve">    </w:t>
                      </w:r>
                      <w:r>
                        <w:rPr>
                          <w:b/>
                          <w:color w:val="002060"/>
                        </w:rPr>
                        <w:t>Least Deprived</w:t>
                      </w:r>
                      <w:r w:rsidRPr="000E2F9A">
                        <w:rPr>
                          <w:b/>
                          <w:color w:val="002060"/>
                        </w:rPr>
                        <w:t xml:space="preserve">                                                </w:t>
                      </w:r>
                      <w:r>
                        <w:rPr>
                          <w:b/>
                          <w:color w:val="002060"/>
                        </w:rPr>
                        <w:t xml:space="preserve">      </w:t>
                      </w:r>
                      <w:r w:rsidRPr="000E2F9A">
                        <w:rPr>
                          <w:b/>
                          <w:color w:val="002060"/>
                        </w:rPr>
                        <w:t xml:space="preserve">          </w:t>
                      </w:r>
                      <w:r w:rsidRPr="000E2F9A">
                        <w:rPr>
                          <w:b/>
                          <w:color w:val="002060"/>
                        </w:rPr>
                        <w:t>LeastDeprived</w:t>
                      </w:r>
                    </w:p>
                    <w:p w14:paraId="675389A7" w14:textId="77777777" w:rsidR="00CF6751" w:rsidRPr="000E2F9A" w:rsidRDefault="00CF6751" w:rsidP="00D15AE4">
                      <w:pPr>
                        <w:jc w:val="center"/>
                      </w:pPr>
                    </w:p>
                  </w:txbxContent>
                </v:textbox>
              </v:shape>
            </w:pict>
          </mc:Fallback>
        </mc:AlternateContent>
      </w:r>
    </w:p>
    <w:p w14:paraId="33F70F39" w14:textId="77777777" w:rsidR="00D15AE4" w:rsidRDefault="00D15AE4" w:rsidP="00D15AE4">
      <w:pPr>
        <w:jc w:val="both"/>
      </w:pPr>
    </w:p>
    <w:p w14:paraId="280FD945" w14:textId="77777777" w:rsidR="00D15AE4" w:rsidRDefault="00D15AE4" w:rsidP="00D15AE4"/>
    <w:p w14:paraId="030F0490" w14:textId="77777777" w:rsidR="00D15AE4" w:rsidRPr="00D4237B" w:rsidRDefault="00D15AE4" w:rsidP="00D15AE4"/>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7"/>
        <w:gridCol w:w="993"/>
        <w:gridCol w:w="992"/>
        <w:gridCol w:w="1134"/>
        <w:gridCol w:w="992"/>
        <w:gridCol w:w="992"/>
        <w:gridCol w:w="993"/>
        <w:gridCol w:w="850"/>
        <w:gridCol w:w="992"/>
      </w:tblGrid>
      <w:tr w:rsidR="00D15AE4" w14:paraId="05819566" w14:textId="77777777" w:rsidTr="00503CF7">
        <w:trPr>
          <w:jc w:val="center"/>
        </w:trPr>
        <w:tc>
          <w:tcPr>
            <w:tcW w:w="2122" w:type="dxa"/>
          </w:tcPr>
          <w:p w14:paraId="722EA947" w14:textId="77777777" w:rsidR="00D15AE4" w:rsidRPr="00BD7730" w:rsidRDefault="00D15AE4" w:rsidP="001A0E69">
            <w:pPr>
              <w:tabs>
                <w:tab w:val="center" w:pos="4153"/>
                <w:tab w:val="right" w:pos="8306"/>
              </w:tabs>
              <w:jc w:val="both"/>
              <w:rPr>
                <w:b/>
                <w:color w:val="000000"/>
              </w:rPr>
            </w:pPr>
            <w:r w:rsidRPr="00BD7730">
              <w:rPr>
                <w:b/>
                <w:color w:val="000000"/>
              </w:rPr>
              <w:t xml:space="preserve">National </w:t>
            </w:r>
          </w:p>
          <w:p w14:paraId="03210601" w14:textId="77777777" w:rsidR="00D15AE4" w:rsidRPr="00BD7730" w:rsidRDefault="00D15AE4" w:rsidP="001A0E69">
            <w:pPr>
              <w:tabs>
                <w:tab w:val="center" w:pos="4153"/>
                <w:tab w:val="right" w:pos="8306"/>
              </w:tabs>
              <w:jc w:val="both"/>
              <w:rPr>
                <w:b/>
                <w:color w:val="000000"/>
              </w:rPr>
            </w:pPr>
            <w:r w:rsidRPr="00BD7730">
              <w:rPr>
                <w:b/>
                <w:color w:val="000000"/>
              </w:rPr>
              <w:t>Indicator</w:t>
            </w:r>
          </w:p>
        </w:tc>
        <w:tc>
          <w:tcPr>
            <w:tcW w:w="997" w:type="dxa"/>
          </w:tcPr>
          <w:p w14:paraId="24F00C7D" w14:textId="77777777" w:rsidR="00D15AE4" w:rsidRPr="00BD7730" w:rsidRDefault="00D15AE4" w:rsidP="001A0E69">
            <w:pPr>
              <w:tabs>
                <w:tab w:val="center" w:pos="4153"/>
                <w:tab w:val="right" w:pos="8306"/>
              </w:tabs>
              <w:jc w:val="center"/>
              <w:rPr>
                <w:b/>
                <w:color w:val="000000"/>
              </w:rPr>
            </w:pPr>
            <w:r w:rsidRPr="00BD7730">
              <w:rPr>
                <w:b/>
                <w:color w:val="000000"/>
              </w:rPr>
              <w:t>Dundee</w:t>
            </w:r>
          </w:p>
        </w:tc>
        <w:tc>
          <w:tcPr>
            <w:tcW w:w="993" w:type="dxa"/>
          </w:tcPr>
          <w:p w14:paraId="281BCCC3" w14:textId="77777777" w:rsidR="00D15AE4" w:rsidRPr="00BD7730" w:rsidRDefault="00D15AE4" w:rsidP="001A0E69">
            <w:pPr>
              <w:tabs>
                <w:tab w:val="center" w:pos="4153"/>
                <w:tab w:val="right" w:pos="8306"/>
              </w:tabs>
              <w:jc w:val="center"/>
              <w:rPr>
                <w:b/>
                <w:color w:val="000000"/>
              </w:rPr>
            </w:pPr>
            <w:proofErr w:type="spellStart"/>
            <w:r w:rsidRPr="00BD7730">
              <w:rPr>
                <w:b/>
                <w:color w:val="000000"/>
              </w:rPr>
              <w:t>Lochee</w:t>
            </w:r>
            <w:proofErr w:type="spellEnd"/>
          </w:p>
        </w:tc>
        <w:tc>
          <w:tcPr>
            <w:tcW w:w="992" w:type="dxa"/>
          </w:tcPr>
          <w:p w14:paraId="4D8B2BE8" w14:textId="77777777" w:rsidR="00D15AE4" w:rsidRPr="00BD7730" w:rsidRDefault="00D15AE4" w:rsidP="001A0E69">
            <w:pPr>
              <w:tabs>
                <w:tab w:val="center" w:pos="4153"/>
                <w:tab w:val="right" w:pos="8306"/>
              </w:tabs>
              <w:jc w:val="center"/>
              <w:rPr>
                <w:b/>
                <w:color w:val="000000"/>
              </w:rPr>
            </w:pPr>
            <w:r w:rsidRPr="00BD7730">
              <w:rPr>
                <w:b/>
                <w:color w:val="000000"/>
              </w:rPr>
              <w:t>East End</w:t>
            </w:r>
          </w:p>
        </w:tc>
        <w:tc>
          <w:tcPr>
            <w:tcW w:w="1134" w:type="dxa"/>
          </w:tcPr>
          <w:p w14:paraId="6F203FAA" w14:textId="77777777" w:rsidR="00D15AE4" w:rsidRPr="00BD7730" w:rsidRDefault="00D15AE4" w:rsidP="001A0E69">
            <w:pPr>
              <w:tabs>
                <w:tab w:val="center" w:pos="4153"/>
                <w:tab w:val="right" w:pos="8306"/>
              </w:tabs>
              <w:jc w:val="center"/>
              <w:rPr>
                <w:b/>
                <w:color w:val="000000"/>
              </w:rPr>
            </w:pPr>
            <w:proofErr w:type="spellStart"/>
            <w:r w:rsidRPr="00BD7730">
              <w:rPr>
                <w:b/>
                <w:color w:val="000000"/>
              </w:rPr>
              <w:t>Coldside</w:t>
            </w:r>
            <w:proofErr w:type="spellEnd"/>
          </w:p>
        </w:tc>
        <w:tc>
          <w:tcPr>
            <w:tcW w:w="992" w:type="dxa"/>
          </w:tcPr>
          <w:p w14:paraId="43375B89" w14:textId="77777777" w:rsidR="00D15AE4" w:rsidRPr="00BD7730" w:rsidRDefault="00D15AE4" w:rsidP="001A0E69">
            <w:pPr>
              <w:tabs>
                <w:tab w:val="center" w:pos="4153"/>
                <w:tab w:val="right" w:pos="8306"/>
              </w:tabs>
              <w:jc w:val="center"/>
              <w:rPr>
                <w:b/>
                <w:color w:val="000000"/>
              </w:rPr>
            </w:pPr>
            <w:proofErr w:type="gramStart"/>
            <w:r w:rsidRPr="00BD7730">
              <w:rPr>
                <w:b/>
                <w:color w:val="000000"/>
              </w:rPr>
              <w:t>North East</w:t>
            </w:r>
            <w:proofErr w:type="gramEnd"/>
          </w:p>
        </w:tc>
        <w:tc>
          <w:tcPr>
            <w:tcW w:w="992" w:type="dxa"/>
          </w:tcPr>
          <w:p w14:paraId="3DBF7D7F" w14:textId="77777777" w:rsidR="00D15AE4" w:rsidRPr="00BD7730" w:rsidRDefault="00D15AE4" w:rsidP="001A0E69">
            <w:pPr>
              <w:tabs>
                <w:tab w:val="center" w:pos="4153"/>
                <w:tab w:val="right" w:pos="8306"/>
              </w:tabs>
              <w:jc w:val="center"/>
              <w:rPr>
                <w:b/>
                <w:color w:val="000000"/>
              </w:rPr>
            </w:pPr>
            <w:r w:rsidRPr="00BD7730">
              <w:rPr>
                <w:b/>
                <w:color w:val="000000"/>
              </w:rPr>
              <w:t xml:space="preserve">Strath </w:t>
            </w:r>
            <w:proofErr w:type="spellStart"/>
            <w:r w:rsidRPr="00BD7730">
              <w:rPr>
                <w:b/>
                <w:color w:val="000000"/>
              </w:rPr>
              <w:t>martine</w:t>
            </w:r>
            <w:proofErr w:type="spellEnd"/>
          </w:p>
        </w:tc>
        <w:tc>
          <w:tcPr>
            <w:tcW w:w="993" w:type="dxa"/>
          </w:tcPr>
          <w:p w14:paraId="763E4C19" w14:textId="77777777" w:rsidR="00D15AE4" w:rsidRPr="00BD7730" w:rsidRDefault="00D15AE4" w:rsidP="001A0E69">
            <w:pPr>
              <w:tabs>
                <w:tab w:val="center" w:pos="4153"/>
                <w:tab w:val="right" w:pos="8306"/>
              </w:tabs>
              <w:jc w:val="center"/>
              <w:rPr>
                <w:b/>
                <w:color w:val="000000"/>
              </w:rPr>
            </w:pPr>
            <w:r w:rsidRPr="00BD7730">
              <w:rPr>
                <w:b/>
                <w:color w:val="000000"/>
              </w:rPr>
              <w:t>Mary field</w:t>
            </w:r>
          </w:p>
        </w:tc>
        <w:tc>
          <w:tcPr>
            <w:tcW w:w="850" w:type="dxa"/>
          </w:tcPr>
          <w:p w14:paraId="4EFA488D" w14:textId="77777777" w:rsidR="00D15AE4" w:rsidRPr="00BD7730" w:rsidRDefault="00D15AE4" w:rsidP="001A0E69">
            <w:pPr>
              <w:tabs>
                <w:tab w:val="center" w:pos="4153"/>
                <w:tab w:val="right" w:pos="8306"/>
              </w:tabs>
              <w:jc w:val="center"/>
              <w:rPr>
                <w:b/>
                <w:color w:val="000000"/>
              </w:rPr>
            </w:pPr>
            <w:r w:rsidRPr="00BD7730">
              <w:rPr>
                <w:b/>
                <w:color w:val="000000"/>
              </w:rPr>
              <w:t>West End</w:t>
            </w:r>
          </w:p>
        </w:tc>
        <w:tc>
          <w:tcPr>
            <w:tcW w:w="992" w:type="dxa"/>
          </w:tcPr>
          <w:p w14:paraId="72BE3198" w14:textId="77777777" w:rsidR="00D15AE4" w:rsidRPr="00BD7730" w:rsidRDefault="00D15AE4" w:rsidP="001A0E69">
            <w:pPr>
              <w:tabs>
                <w:tab w:val="center" w:pos="4153"/>
                <w:tab w:val="right" w:pos="8306"/>
              </w:tabs>
              <w:jc w:val="center"/>
              <w:rPr>
                <w:b/>
                <w:color w:val="000000"/>
              </w:rPr>
            </w:pPr>
            <w:r w:rsidRPr="00BD7730">
              <w:rPr>
                <w:b/>
                <w:color w:val="000000"/>
              </w:rPr>
              <w:t>The Ferry</w:t>
            </w:r>
          </w:p>
        </w:tc>
      </w:tr>
      <w:tr w:rsidR="00D15AE4" w14:paraId="4A64946C" w14:textId="77777777" w:rsidTr="00E93EF5">
        <w:trPr>
          <w:trHeight w:val="512"/>
          <w:jc w:val="center"/>
        </w:trPr>
        <w:tc>
          <w:tcPr>
            <w:tcW w:w="2122" w:type="dxa"/>
          </w:tcPr>
          <w:p w14:paraId="454D3240" w14:textId="56BF3B7A" w:rsidR="00D15AE4" w:rsidRPr="003624BC" w:rsidRDefault="00D15AE4" w:rsidP="001A0E69">
            <w:pPr>
              <w:tabs>
                <w:tab w:val="center" w:pos="4153"/>
                <w:tab w:val="right" w:pos="8306"/>
              </w:tabs>
              <w:rPr>
                <w:b/>
              </w:rPr>
            </w:pPr>
            <w:r w:rsidRPr="003624BC">
              <w:rPr>
                <w:b/>
              </w:rPr>
              <w:t>Emer Admissions rate per 100,000 18+</w:t>
            </w:r>
          </w:p>
        </w:tc>
        <w:tc>
          <w:tcPr>
            <w:tcW w:w="997" w:type="dxa"/>
            <w:vAlign w:val="center"/>
          </w:tcPr>
          <w:p w14:paraId="3D8D9459" w14:textId="594BB14D" w:rsidR="00D15AE4" w:rsidRPr="00BD7730" w:rsidRDefault="001415B7" w:rsidP="00773C6D">
            <w:pPr>
              <w:tabs>
                <w:tab w:val="center" w:pos="4153"/>
                <w:tab w:val="right" w:pos="8306"/>
              </w:tabs>
              <w:jc w:val="center"/>
              <w:rPr>
                <w:color w:val="000000"/>
              </w:rPr>
            </w:pPr>
            <w:r>
              <w:rPr>
                <w:color w:val="000000"/>
              </w:rPr>
              <w:t>14,</w:t>
            </w:r>
            <w:r w:rsidR="00CD2D16">
              <w:rPr>
                <w:color w:val="000000"/>
              </w:rPr>
              <w:t>419</w:t>
            </w:r>
          </w:p>
        </w:tc>
        <w:tc>
          <w:tcPr>
            <w:tcW w:w="993" w:type="dxa"/>
            <w:shd w:val="clear" w:color="auto" w:fill="FF0000"/>
            <w:vAlign w:val="center"/>
          </w:tcPr>
          <w:p w14:paraId="7B80DEAA" w14:textId="4468DD79" w:rsidR="00D15AE4" w:rsidRPr="00BD7730" w:rsidRDefault="001415B7" w:rsidP="00773C6D">
            <w:pPr>
              <w:tabs>
                <w:tab w:val="center" w:pos="4153"/>
                <w:tab w:val="right" w:pos="8306"/>
              </w:tabs>
              <w:jc w:val="center"/>
              <w:rPr>
                <w:color w:val="000000"/>
              </w:rPr>
            </w:pPr>
            <w:r>
              <w:rPr>
                <w:color w:val="000000"/>
              </w:rPr>
              <w:t>16,9</w:t>
            </w:r>
            <w:r w:rsidR="002F4924">
              <w:rPr>
                <w:color w:val="000000"/>
              </w:rPr>
              <w:t>92</w:t>
            </w:r>
          </w:p>
        </w:tc>
        <w:tc>
          <w:tcPr>
            <w:tcW w:w="992" w:type="dxa"/>
            <w:shd w:val="clear" w:color="auto" w:fill="FF0000"/>
            <w:vAlign w:val="center"/>
          </w:tcPr>
          <w:p w14:paraId="19EB12C7" w14:textId="1CC9DE5E" w:rsidR="00D15AE4" w:rsidRPr="00BD7730" w:rsidRDefault="002F4924" w:rsidP="00773C6D">
            <w:pPr>
              <w:tabs>
                <w:tab w:val="center" w:pos="4153"/>
                <w:tab w:val="right" w:pos="8306"/>
              </w:tabs>
              <w:jc w:val="center"/>
              <w:rPr>
                <w:color w:val="000000"/>
              </w:rPr>
            </w:pPr>
            <w:r>
              <w:rPr>
                <w:color w:val="000000"/>
              </w:rPr>
              <w:t>17</w:t>
            </w:r>
            <w:r w:rsidR="00471058">
              <w:rPr>
                <w:color w:val="000000"/>
              </w:rPr>
              <w:t>,</w:t>
            </w:r>
            <w:r>
              <w:rPr>
                <w:color w:val="000000"/>
              </w:rPr>
              <w:t>458</w:t>
            </w:r>
          </w:p>
        </w:tc>
        <w:tc>
          <w:tcPr>
            <w:tcW w:w="1134" w:type="dxa"/>
            <w:shd w:val="clear" w:color="auto" w:fill="FF0000"/>
            <w:vAlign w:val="center"/>
          </w:tcPr>
          <w:p w14:paraId="6A3C08E0" w14:textId="07646B48" w:rsidR="00D15AE4" w:rsidRPr="00BD7730" w:rsidRDefault="006953B9" w:rsidP="00773C6D">
            <w:pPr>
              <w:tabs>
                <w:tab w:val="center" w:pos="4153"/>
                <w:tab w:val="right" w:pos="8306"/>
              </w:tabs>
              <w:jc w:val="center"/>
              <w:rPr>
                <w:color w:val="000000"/>
              </w:rPr>
            </w:pPr>
            <w:r>
              <w:rPr>
                <w:color w:val="000000"/>
              </w:rPr>
              <w:t>15</w:t>
            </w:r>
            <w:r w:rsidR="00471058">
              <w:rPr>
                <w:color w:val="000000"/>
              </w:rPr>
              <w:t>,</w:t>
            </w:r>
            <w:r>
              <w:rPr>
                <w:color w:val="000000"/>
              </w:rPr>
              <w:t>694</w:t>
            </w:r>
          </w:p>
        </w:tc>
        <w:tc>
          <w:tcPr>
            <w:tcW w:w="992" w:type="dxa"/>
            <w:shd w:val="clear" w:color="auto" w:fill="FF0000"/>
            <w:vAlign w:val="center"/>
          </w:tcPr>
          <w:p w14:paraId="1C2D5624" w14:textId="3274664D" w:rsidR="00D15AE4" w:rsidRPr="00BD7730" w:rsidRDefault="006953B9" w:rsidP="00773C6D">
            <w:pPr>
              <w:tabs>
                <w:tab w:val="center" w:pos="4153"/>
                <w:tab w:val="right" w:pos="8306"/>
              </w:tabs>
              <w:jc w:val="center"/>
              <w:rPr>
                <w:color w:val="000000"/>
              </w:rPr>
            </w:pPr>
            <w:r>
              <w:rPr>
                <w:color w:val="000000"/>
              </w:rPr>
              <w:t>14</w:t>
            </w:r>
            <w:r w:rsidR="00471058">
              <w:rPr>
                <w:color w:val="000000"/>
              </w:rPr>
              <w:t>,</w:t>
            </w:r>
            <w:r>
              <w:rPr>
                <w:color w:val="000000"/>
              </w:rPr>
              <w:t>439</w:t>
            </w:r>
          </w:p>
        </w:tc>
        <w:tc>
          <w:tcPr>
            <w:tcW w:w="992" w:type="dxa"/>
            <w:shd w:val="clear" w:color="auto" w:fill="FF0000"/>
            <w:vAlign w:val="center"/>
          </w:tcPr>
          <w:p w14:paraId="124E519D" w14:textId="368553D7" w:rsidR="00D15AE4" w:rsidRPr="00BD7730" w:rsidRDefault="006953B9" w:rsidP="00773C6D">
            <w:pPr>
              <w:tabs>
                <w:tab w:val="center" w:pos="4153"/>
                <w:tab w:val="right" w:pos="8306"/>
              </w:tabs>
              <w:jc w:val="center"/>
              <w:rPr>
                <w:color w:val="000000"/>
              </w:rPr>
            </w:pPr>
            <w:r>
              <w:rPr>
                <w:color w:val="000000"/>
              </w:rPr>
              <w:t>16</w:t>
            </w:r>
            <w:r w:rsidR="00471058">
              <w:rPr>
                <w:color w:val="000000"/>
              </w:rPr>
              <w:t>,</w:t>
            </w:r>
            <w:r>
              <w:rPr>
                <w:color w:val="000000"/>
              </w:rPr>
              <w:t>391</w:t>
            </w:r>
          </w:p>
        </w:tc>
        <w:tc>
          <w:tcPr>
            <w:tcW w:w="993" w:type="dxa"/>
            <w:shd w:val="clear" w:color="auto" w:fill="00B050"/>
            <w:vAlign w:val="center"/>
          </w:tcPr>
          <w:p w14:paraId="619D9FCB" w14:textId="33EE3DF7" w:rsidR="00D15AE4" w:rsidRPr="00BD7730" w:rsidRDefault="00471058" w:rsidP="00773C6D">
            <w:pPr>
              <w:tabs>
                <w:tab w:val="center" w:pos="4153"/>
                <w:tab w:val="right" w:pos="8306"/>
              </w:tabs>
              <w:jc w:val="center"/>
              <w:rPr>
                <w:color w:val="000000"/>
              </w:rPr>
            </w:pPr>
            <w:r>
              <w:rPr>
                <w:color w:val="000000"/>
              </w:rPr>
              <w:t>12,524</w:t>
            </w:r>
          </w:p>
        </w:tc>
        <w:tc>
          <w:tcPr>
            <w:tcW w:w="850" w:type="dxa"/>
            <w:shd w:val="clear" w:color="auto" w:fill="00B050"/>
            <w:vAlign w:val="center"/>
          </w:tcPr>
          <w:p w14:paraId="77080B94" w14:textId="55CC04EC" w:rsidR="00D15AE4" w:rsidRPr="00BD7730" w:rsidRDefault="00471058" w:rsidP="00773C6D">
            <w:pPr>
              <w:tabs>
                <w:tab w:val="center" w:pos="4153"/>
                <w:tab w:val="right" w:pos="8306"/>
              </w:tabs>
              <w:jc w:val="center"/>
              <w:rPr>
                <w:color w:val="000000"/>
              </w:rPr>
            </w:pPr>
            <w:r>
              <w:rPr>
                <w:color w:val="000000"/>
              </w:rPr>
              <w:t>10,359</w:t>
            </w:r>
          </w:p>
        </w:tc>
        <w:tc>
          <w:tcPr>
            <w:tcW w:w="992" w:type="dxa"/>
            <w:shd w:val="clear" w:color="auto" w:fill="00B050"/>
            <w:vAlign w:val="center"/>
          </w:tcPr>
          <w:p w14:paraId="0AB12EFF" w14:textId="0EE5A38F" w:rsidR="00D15AE4" w:rsidRPr="00BD7730" w:rsidRDefault="00471058" w:rsidP="00773C6D">
            <w:pPr>
              <w:tabs>
                <w:tab w:val="center" w:pos="4153"/>
                <w:tab w:val="right" w:pos="8306"/>
              </w:tabs>
              <w:jc w:val="center"/>
              <w:rPr>
                <w:color w:val="000000"/>
              </w:rPr>
            </w:pPr>
            <w:r>
              <w:rPr>
                <w:color w:val="000000"/>
              </w:rPr>
              <w:t>12,791</w:t>
            </w:r>
          </w:p>
        </w:tc>
      </w:tr>
      <w:tr w:rsidR="00D15AE4" w:rsidRPr="000E2F9A" w14:paraId="374E1DC6" w14:textId="77777777" w:rsidTr="00C65C92">
        <w:trPr>
          <w:jc w:val="center"/>
        </w:trPr>
        <w:tc>
          <w:tcPr>
            <w:tcW w:w="2122" w:type="dxa"/>
          </w:tcPr>
          <w:p w14:paraId="5F038B35" w14:textId="77777777" w:rsidR="00D15AE4" w:rsidRDefault="00D15AE4" w:rsidP="001A0E69">
            <w:pPr>
              <w:tabs>
                <w:tab w:val="center" w:pos="4153"/>
                <w:tab w:val="right" w:pos="8306"/>
              </w:tabs>
              <w:rPr>
                <w:b/>
              </w:rPr>
            </w:pPr>
            <w:r w:rsidRPr="003624BC">
              <w:rPr>
                <w:b/>
              </w:rPr>
              <w:t xml:space="preserve">Emer Bed days rate per 100,000 18+ </w:t>
            </w:r>
          </w:p>
          <w:p w14:paraId="1EA95E03" w14:textId="13B69875" w:rsidR="00503CF7" w:rsidRPr="003624BC" w:rsidRDefault="00503CF7" w:rsidP="001A0E69">
            <w:pPr>
              <w:tabs>
                <w:tab w:val="center" w:pos="4153"/>
                <w:tab w:val="right" w:pos="8306"/>
              </w:tabs>
              <w:rPr>
                <w:b/>
              </w:rPr>
            </w:pPr>
          </w:p>
        </w:tc>
        <w:tc>
          <w:tcPr>
            <w:tcW w:w="997" w:type="dxa"/>
            <w:vAlign w:val="center"/>
          </w:tcPr>
          <w:p w14:paraId="62885DF2" w14:textId="687B08FB" w:rsidR="00D15AE4" w:rsidRPr="00BD7730" w:rsidRDefault="00487460" w:rsidP="00773C6D">
            <w:pPr>
              <w:tabs>
                <w:tab w:val="center" w:pos="4153"/>
                <w:tab w:val="right" w:pos="8306"/>
              </w:tabs>
              <w:jc w:val="center"/>
              <w:rPr>
                <w:color w:val="000000"/>
              </w:rPr>
            </w:pPr>
            <w:r>
              <w:rPr>
                <w:color w:val="000000"/>
              </w:rPr>
              <w:t>121,125</w:t>
            </w:r>
          </w:p>
        </w:tc>
        <w:tc>
          <w:tcPr>
            <w:tcW w:w="993" w:type="dxa"/>
            <w:shd w:val="clear" w:color="auto" w:fill="FF0000"/>
            <w:vAlign w:val="center"/>
          </w:tcPr>
          <w:p w14:paraId="24890A59" w14:textId="274D4571" w:rsidR="00D15AE4" w:rsidRPr="008C5E77" w:rsidRDefault="00487460" w:rsidP="00773C6D">
            <w:pPr>
              <w:jc w:val="center"/>
            </w:pPr>
            <w:r>
              <w:t>143,693</w:t>
            </w:r>
          </w:p>
        </w:tc>
        <w:tc>
          <w:tcPr>
            <w:tcW w:w="992" w:type="dxa"/>
            <w:tcBorders>
              <w:bottom w:val="single" w:sz="4" w:space="0" w:color="auto"/>
            </w:tcBorders>
            <w:shd w:val="clear" w:color="auto" w:fill="FF0000"/>
            <w:vAlign w:val="center"/>
          </w:tcPr>
          <w:p w14:paraId="385EAE5B" w14:textId="48735D71" w:rsidR="00D15AE4" w:rsidRPr="00BD7730" w:rsidRDefault="009731BB" w:rsidP="00773C6D">
            <w:pPr>
              <w:tabs>
                <w:tab w:val="center" w:pos="4153"/>
                <w:tab w:val="right" w:pos="8306"/>
              </w:tabs>
              <w:jc w:val="center"/>
              <w:rPr>
                <w:color w:val="000000"/>
              </w:rPr>
            </w:pPr>
            <w:r>
              <w:rPr>
                <w:color w:val="000000"/>
              </w:rPr>
              <w:t>142,896</w:t>
            </w:r>
          </w:p>
        </w:tc>
        <w:tc>
          <w:tcPr>
            <w:tcW w:w="1134" w:type="dxa"/>
            <w:tcBorders>
              <w:bottom w:val="single" w:sz="4" w:space="0" w:color="auto"/>
            </w:tcBorders>
            <w:shd w:val="clear" w:color="auto" w:fill="FF0000"/>
            <w:vAlign w:val="center"/>
          </w:tcPr>
          <w:p w14:paraId="2353B17A" w14:textId="1925C64D" w:rsidR="00D15AE4" w:rsidRPr="00BD7730" w:rsidRDefault="009731BB" w:rsidP="00773C6D">
            <w:pPr>
              <w:tabs>
                <w:tab w:val="center" w:pos="4153"/>
                <w:tab w:val="right" w:pos="8306"/>
              </w:tabs>
              <w:jc w:val="center"/>
              <w:rPr>
                <w:color w:val="000000"/>
              </w:rPr>
            </w:pPr>
            <w:r>
              <w:rPr>
                <w:color w:val="000000"/>
              </w:rPr>
              <w:t>144,031</w:t>
            </w:r>
          </w:p>
        </w:tc>
        <w:tc>
          <w:tcPr>
            <w:tcW w:w="992" w:type="dxa"/>
            <w:shd w:val="clear" w:color="auto" w:fill="00B050"/>
            <w:vAlign w:val="center"/>
          </w:tcPr>
          <w:p w14:paraId="5CCC55AF" w14:textId="5B74C804" w:rsidR="00D15AE4" w:rsidRPr="00BD7730" w:rsidRDefault="009731BB" w:rsidP="00773C6D">
            <w:pPr>
              <w:tabs>
                <w:tab w:val="center" w:pos="4153"/>
                <w:tab w:val="right" w:pos="8306"/>
              </w:tabs>
              <w:jc w:val="center"/>
              <w:rPr>
                <w:color w:val="000000"/>
              </w:rPr>
            </w:pPr>
            <w:r>
              <w:rPr>
                <w:color w:val="000000"/>
              </w:rPr>
              <w:t>117,269</w:t>
            </w:r>
          </w:p>
        </w:tc>
        <w:tc>
          <w:tcPr>
            <w:tcW w:w="992" w:type="dxa"/>
            <w:shd w:val="clear" w:color="auto" w:fill="FF0000"/>
            <w:vAlign w:val="center"/>
          </w:tcPr>
          <w:p w14:paraId="25FFF58A" w14:textId="3F779777" w:rsidR="00D15AE4" w:rsidRPr="00BD7730" w:rsidRDefault="00EF0A99" w:rsidP="00773C6D">
            <w:pPr>
              <w:tabs>
                <w:tab w:val="center" w:pos="4153"/>
                <w:tab w:val="right" w:pos="8306"/>
              </w:tabs>
              <w:jc w:val="center"/>
              <w:rPr>
                <w:color w:val="000000"/>
              </w:rPr>
            </w:pPr>
            <w:r>
              <w:rPr>
                <w:color w:val="000000"/>
              </w:rPr>
              <w:t>136,343</w:t>
            </w:r>
          </w:p>
        </w:tc>
        <w:tc>
          <w:tcPr>
            <w:tcW w:w="993" w:type="dxa"/>
            <w:shd w:val="clear" w:color="auto" w:fill="00B050"/>
            <w:vAlign w:val="center"/>
          </w:tcPr>
          <w:p w14:paraId="677B763D" w14:textId="3A646CF1" w:rsidR="00D15AE4" w:rsidRPr="00BD7730" w:rsidRDefault="00EF0A99" w:rsidP="00773C6D">
            <w:pPr>
              <w:tabs>
                <w:tab w:val="center" w:pos="4153"/>
                <w:tab w:val="right" w:pos="8306"/>
              </w:tabs>
              <w:jc w:val="center"/>
              <w:rPr>
                <w:color w:val="000000"/>
              </w:rPr>
            </w:pPr>
            <w:r>
              <w:rPr>
                <w:color w:val="000000"/>
              </w:rPr>
              <w:t>89,841</w:t>
            </w:r>
          </w:p>
        </w:tc>
        <w:tc>
          <w:tcPr>
            <w:tcW w:w="850" w:type="dxa"/>
            <w:shd w:val="clear" w:color="auto" w:fill="00B050"/>
            <w:vAlign w:val="center"/>
          </w:tcPr>
          <w:p w14:paraId="0673EA77" w14:textId="64296E95" w:rsidR="00D15AE4" w:rsidRPr="00BD7730" w:rsidRDefault="00EF0A99" w:rsidP="00773C6D">
            <w:pPr>
              <w:tabs>
                <w:tab w:val="center" w:pos="4153"/>
                <w:tab w:val="right" w:pos="8306"/>
              </w:tabs>
              <w:jc w:val="center"/>
              <w:rPr>
                <w:color w:val="000000"/>
              </w:rPr>
            </w:pPr>
            <w:r>
              <w:rPr>
                <w:color w:val="000000"/>
              </w:rPr>
              <w:t>82,256</w:t>
            </w:r>
          </w:p>
        </w:tc>
        <w:tc>
          <w:tcPr>
            <w:tcW w:w="992" w:type="dxa"/>
            <w:shd w:val="clear" w:color="auto" w:fill="FF0000"/>
            <w:vAlign w:val="center"/>
          </w:tcPr>
          <w:p w14:paraId="27F684B7" w14:textId="1352C50C" w:rsidR="00D15AE4" w:rsidRPr="00BD7730" w:rsidRDefault="00EF0A99" w:rsidP="00773C6D">
            <w:pPr>
              <w:tabs>
                <w:tab w:val="center" w:pos="4153"/>
                <w:tab w:val="right" w:pos="8306"/>
              </w:tabs>
              <w:jc w:val="center"/>
              <w:rPr>
                <w:color w:val="000000"/>
              </w:rPr>
            </w:pPr>
            <w:r>
              <w:rPr>
                <w:color w:val="000000"/>
              </w:rPr>
              <w:t>121,690</w:t>
            </w:r>
          </w:p>
        </w:tc>
      </w:tr>
      <w:tr w:rsidR="00B12D3F" w14:paraId="49540855" w14:textId="77777777" w:rsidTr="008242D4">
        <w:trPr>
          <w:jc w:val="center"/>
        </w:trPr>
        <w:tc>
          <w:tcPr>
            <w:tcW w:w="2122" w:type="dxa"/>
          </w:tcPr>
          <w:p w14:paraId="313FFD12" w14:textId="2AAD744B" w:rsidR="00517A74" w:rsidRPr="003624BC" w:rsidRDefault="003C322F" w:rsidP="00B12D3F">
            <w:pPr>
              <w:tabs>
                <w:tab w:val="center" w:pos="4153"/>
                <w:tab w:val="right" w:pos="8306"/>
              </w:tabs>
              <w:rPr>
                <w:b/>
              </w:rPr>
            </w:pPr>
            <w:r w:rsidRPr="003624BC">
              <w:rPr>
                <w:b/>
              </w:rPr>
              <w:t xml:space="preserve">28 Day </w:t>
            </w:r>
            <w:r w:rsidR="00B12D3F" w:rsidRPr="003624BC">
              <w:rPr>
                <w:b/>
              </w:rPr>
              <w:t xml:space="preserve">Readmissions rate per 1,000 Admissions </w:t>
            </w:r>
            <w:r w:rsidR="00653622">
              <w:rPr>
                <w:b/>
              </w:rPr>
              <w:t>18+</w:t>
            </w:r>
          </w:p>
        </w:tc>
        <w:tc>
          <w:tcPr>
            <w:tcW w:w="997" w:type="dxa"/>
            <w:shd w:val="clear" w:color="auto" w:fill="FFFFFF" w:themeFill="background1"/>
            <w:vAlign w:val="center"/>
          </w:tcPr>
          <w:p w14:paraId="7EDC63FE" w14:textId="7AED2DBE" w:rsidR="00B12D3F" w:rsidRPr="00DA64B3" w:rsidRDefault="00423E18" w:rsidP="00B12D3F">
            <w:pPr>
              <w:tabs>
                <w:tab w:val="center" w:pos="4153"/>
                <w:tab w:val="right" w:pos="8306"/>
              </w:tabs>
              <w:jc w:val="center"/>
              <w:rPr>
                <w:color w:val="000000"/>
              </w:rPr>
            </w:pPr>
            <w:r>
              <w:rPr>
                <w:color w:val="000000"/>
              </w:rPr>
              <w:t>153</w:t>
            </w:r>
          </w:p>
        </w:tc>
        <w:tc>
          <w:tcPr>
            <w:tcW w:w="993" w:type="dxa"/>
            <w:shd w:val="clear" w:color="auto" w:fill="FF0000"/>
            <w:vAlign w:val="center"/>
          </w:tcPr>
          <w:p w14:paraId="67F4F9E9" w14:textId="40DC6427" w:rsidR="00B12D3F" w:rsidRPr="00DA64B3" w:rsidRDefault="00A5581D" w:rsidP="00B12D3F">
            <w:pPr>
              <w:tabs>
                <w:tab w:val="center" w:pos="4153"/>
                <w:tab w:val="right" w:pos="8306"/>
              </w:tabs>
              <w:jc w:val="center"/>
              <w:rPr>
                <w:color w:val="000000"/>
              </w:rPr>
            </w:pPr>
            <w:r>
              <w:rPr>
                <w:color w:val="000000"/>
              </w:rPr>
              <w:t>156</w:t>
            </w:r>
          </w:p>
        </w:tc>
        <w:tc>
          <w:tcPr>
            <w:tcW w:w="992" w:type="dxa"/>
            <w:shd w:val="clear" w:color="auto" w:fill="FF0000"/>
            <w:vAlign w:val="center"/>
          </w:tcPr>
          <w:p w14:paraId="3C245C8D" w14:textId="2052046D" w:rsidR="00B12D3F" w:rsidRPr="00DA64B3" w:rsidRDefault="00A5581D" w:rsidP="00B12D3F">
            <w:pPr>
              <w:tabs>
                <w:tab w:val="center" w:pos="4153"/>
                <w:tab w:val="right" w:pos="8306"/>
              </w:tabs>
              <w:jc w:val="center"/>
              <w:rPr>
                <w:color w:val="000000"/>
              </w:rPr>
            </w:pPr>
            <w:r>
              <w:rPr>
                <w:color w:val="000000"/>
              </w:rPr>
              <w:t>154</w:t>
            </w:r>
          </w:p>
        </w:tc>
        <w:tc>
          <w:tcPr>
            <w:tcW w:w="1134" w:type="dxa"/>
            <w:shd w:val="clear" w:color="auto" w:fill="00B050"/>
            <w:vAlign w:val="center"/>
          </w:tcPr>
          <w:p w14:paraId="59FF5F31" w14:textId="58334B1F" w:rsidR="00B12D3F" w:rsidRPr="00DA64B3" w:rsidRDefault="00572667" w:rsidP="00B12D3F">
            <w:pPr>
              <w:tabs>
                <w:tab w:val="center" w:pos="4153"/>
                <w:tab w:val="right" w:pos="8306"/>
              </w:tabs>
              <w:jc w:val="center"/>
              <w:rPr>
                <w:color w:val="000000"/>
              </w:rPr>
            </w:pPr>
            <w:r>
              <w:rPr>
                <w:color w:val="000000"/>
              </w:rPr>
              <w:t>149</w:t>
            </w:r>
          </w:p>
        </w:tc>
        <w:tc>
          <w:tcPr>
            <w:tcW w:w="992" w:type="dxa"/>
            <w:shd w:val="clear" w:color="auto" w:fill="00B050"/>
            <w:vAlign w:val="center"/>
          </w:tcPr>
          <w:p w14:paraId="086BA135" w14:textId="2A864E90" w:rsidR="00B12D3F" w:rsidRPr="002E3386" w:rsidRDefault="00A5581D" w:rsidP="00572667">
            <w:pPr>
              <w:jc w:val="center"/>
            </w:pPr>
            <w:r>
              <w:t>146</w:t>
            </w:r>
          </w:p>
        </w:tc>
        <w:tc>
          <w:tcPr>
            <w:tcW w:w="992" w:type="dxa"/>
            <w:shd w:val="clear" w:color="auto" w:fill="FF0000"/>
            <w:vAlign w:val="center"/>
          </w:tcPr>
          <w:p w14:paraId="0881D9EC" w14:textId="314640E7" w:rsidR="00B12D3F" w:rsidRPr="00DA64B3" w:rsidRDefault="008242D4" w:rsidP="00B12D3F">
            <w:pPr>
              <w:tabs>
                <w:tab w:val="center" w:pos="4153"/>
                <w:tab w:val="right" w:pos="8306"/>
              </w:tabs>
              <w:jc w:val="center"/>
              <w:rPr>
                <w:color w:val="000000"/>
              </w:rPr>
            </w:pPr>
            <w:r>
              <w:rPr>
                <w:color w:val="000000"/>
              </w:rPr>
              <w:t>159</w:t>
            </w:r>
          </w:p>
        </w:tc>
        <w:tc>
          <w:tcPr>
            <w:tcW w:w="993" w:type="dxa"/>
            <w:shd w:val="clear" w:color="auto" w:fill="FF0000"/>
            <w:vAlign w:val="center"/>
          </w:tcPr>
          <w:p w14:paraId="2662E113" w14:textId="132FD797" w:rsidR="00B12D3F" w:rsidRPr="002E3386" w:rsidRDefault="008242D4" w:rsidP="00572667">
            <w:pPr>
              <w:jc w:val="center"/>
            </w:pPr>
            <w:r>
              <w:t>164</w:t>
            </w:r>
          </w:p>
        </w:tc>
        <w:tc>
          <w:tcPr>
            <w:tcW w:w="850" w:type="dxa"/>
            <w:shd w:val="clear" w:color="auto" w:fill="FF0000"/>
            <w:vAlign w:val="center"/>
          </w:tcPr>
          <w:p w14:paraId="0E568D05" w14:textId="02958423" w:rsidR="00B12D3F" w:rsidRPr="00DA64B3" w:rsidRDefault="008242D4" w:rsidP="00B12D3F">
            <w:pPr>
              <w:tabs>
                <w:tab w:val="center" w:pos="4153"/>
                <w:tab w:val="right" w:pos="8306"/>
              </w:tabs>
              <w:jc w:val="center"/>
              <w:rPr>
                <w:color w:val="000000"/>
              </w:rPr>
            </w:pPr>
            <w:r>
              <w:rPr>
                <w:color w:val="000000"/>
              </w:rPr>
              <w:t>159</w:t>
            </w:r>
          </w:p>
        </w:tc>
        <w:tc>
          <w:tcPr>
            <w:tcW w:w="992" w:type="dxa"/>
            <w:shd w:val="clear" w:color="auto" w:fill="00B050"/>
            <w:vAlign w:val="center"/>
          </w:tcPr>
          <w:p w14:paraId="296CADCB" w14:textId="271DB399" w:rsidR="00B12D3F" w:rsidRPr="00DA64B3" w:rsidRDefault="008242D4" w:rsidP="00B12D3F">
            <w:pPr>
              <w:tabs>
                <w:tab w:val="center" w:pos="4153"/>
                <w:tab w:val="right" w:pos="8306"/>
              </w:tabs>
              <w:jc w:val="center"/>
              <w:rPr>
                <w:color w:val="000000"/>
              </w:rPr>
            </w:pPr>
            <w:r>
              <w:rPr>
                <w:color w:val="000000"/>
              </w:rPr>
              <w:t>134</w:t>
            </w:r>
          </w:p>
        </w:tc>
      </w:tr>
      <w:tr w:rsidR="00B12D3F" w14:paraId="603D69CD" w14:textId="77777777" w:rsidTr="00503CF7">
        <w:trPr>
          <w:jc w:val="center"/>
        </w:trPr>
        <w:tc>
          <w:tcPr>
            <w:tcW w:w="2122" w:type="dxa"/>
          </w:tcPr>
          <w:p w14:paraId="37D07893" w14:textId="77777777" w:rsidR="00B12D3F" w:rsidRPr="003624BC" w:rsidRDefault="00B12D3F" w:rsidP="00B12D3F">
            <w:pPr>
              <w:tabs>
                <w:tab w:val="center" w:pos="4153"/>
                <w:tab w:val="right" w:pos="8306"/>
              </w:tabs>
              <w:rPr>
                <w:b/>
              </w:rPr>
            </w:pPr>
            <w:r w:rsidRPr="003624BC">
              <w:rPr>
                <w:b/>
              </w:rPr>
              <w:t>Hospital admissions due to falls rate per 1,000 65+</w:t>
            </w:r>
          </w:p>
        </w:tc>
        <w:tc>
          <w:tcPr>
            <w:tcW w:w="997" w:type="dxa"/>
            <w:vAlign w:val="center"/>
          </w:tcPr>
          <w:p w14:paraId="53AE751F" w14:textId="2978C80B" w:rsidR="00B12D3F" w:rsidRPr="00BD7730" w:rsidRDefault="0042787F" w:rsidP="00B12D3F">
            <w:pPr>
              <w:tabs>
                <w:tab w:val="center" w:pos="4153"/>
                <w:tab w:val="right" w:pos="8306"/>
              </w:tabs>
              <w:jc w:val="center"/>
              <w:rPr>
                <w:color w:val="000000"/>
              </w:rPr>
            </w:pPr>
            <w:r>
              <w:rPr>
                <w:color w:val="000000"/>
              </w:rPr>
              <w:t>36</w:t>
            </w:r>
          </w:p>
        </w:tc>
        <w:tc>
          <w:tcPr>
            <w:tcW w:w="993" w:type="dxa"/>
            <w:shd w:val="clear" w:color="auto" w:fill="FF0000"/>
            <w:vAlign w:val="center"/>
          </w:tcPr>
          <w:p w14:paraId="66CFF84E" w14:textId="3784FEB4" w:rsidR="00B12D3F" w:rsidRPr="00BD7730" w:rsidRDefault="00F2624D" w:rsidP="00B12D3F">
            <w:pPr>
              <w:tabs>
                <w:tab w:val="center" w:pos="4153"/>
                <w:tab w:val="right" w:pos="8306"/>
              </w:tabs>
              <w:jc w:val="center"/>
              <w:rPr>
                <w:color w:val="000000"/>
              </w:rPr>
            </w:pPr>
            <w:r>
              <w:rPr>
                <w:color w:val="000000"/>
              </w:rPr>
              <w:t>49</w:t>
            </w:r>
          </w:p>
        </w:tc>
        <w:tc>
          <w:tcPr>
            <w:tcW w:w="992" w:type="dxa"/>
            <w:shd w:val="clear" w:color="auto" w:fill="FF0000"/>
            <w:vAlign w:val="center"/>
          </w:tcPr>
          <w:p w14:paraId="5375C491" w14:textId="6F91D909" w:rsidR="00B12D3F" w:rsidRPr="00BD7730" w:rsidRDefault="00F2624D" w:rsidP="00B12D3F">
            <w:pPr>
              <w:tabs>
                <w:tab w:val="center" w:pos="4153"/>
                <w:tab w:val="right" w:pos="8306"/>
              </w:tabs>
              <w:jc w:val="center"/>
              <w:rPr>
                <w:color w:val="000000"/>
              </w:rPr>
            </w:pPr>
            <w:r>
              <w:rPr>
                <w:color w:val="000000"/>
              </w:rPr>
              <w:t>36</w:t>
            </w:r>
          </w:p>
        </w:tc>
        <w:tc>
          <w:tcPr>
            <w:tcW w:w="1134" w:type="dxa"/>
            <w:shd w:val="clear" w:color="auto" w:fill="00B050"/>
            <w:vAlign w:val="center"/>
          </w:tcPr>
          <w:p w14:paraId="6802CEA8" w14:textId="2D28A21B" w:rsidR="00B12D3F" w:rsidRPr="00BD7730" w:rsidRDefault="00F2624D" w:rsidP="00B12D3F">
            <w:pPr>
              <w:tabs>
                <w:tab w:val="center" w:pos="4153"/>
                <w:tab w:val="right" w:pos="8306"/>
              </w:tabs>
              <w:jc w:val="center"/>
              <w:rPr>
                <w:color w:val="000000"/>
              </w:rPr>
            </w:pPr>
            <w:r>
              <w:rPr>
                <w:color w:val="000000"/>
              </w:rPr>
              <w:t>35</w:t>
            </w:r>
          </w:p>
        </w:tc>
        <w:tc>
          <w:tcPr>
            <w:tcW w:w="992" w:type="dxa"/>
            <w:shd w:val="clear" w:color="auto" w:fill="00B050"/>
            <w:vAlign w:val="center"/>
          </w:tcPr>
          <w:p w14:paraId="4EBEF705" w14:textId="2D97889D" w:rsidR="00B12D3F" w:rsidRPr="00BD7730" w:rsidRDefault="00F2624D" w:rsidP="00B12D3F">
            <w:pPr>
              <w:tabs>
                <w:tab w:val="center" w:pos="4153"/>
                <w:tab w:val="right" w:pos="8306"/>
              </w:tabs>
              <w:jc w:val="center"/>
              <w:rPr>
                <w:color w:val="000000"/>
              </w:rPr>
            </w:pPr>
            <w:r>
              <w:rPr>
                <w:color w:val="000000"/>
              </w:rPr>
              <w:t>31</w:t>
            </w:r>
          </w:p>
        </w:tc>
        <w:tc>
          <w:tcPr>
            <w:tcW w:w="992" w:type="dxa"/>
            <w:shd w:val="clear" w:color="auto" w:fill="00B050"/>
            <w:vAlign w:val="center"/>
          </w:tcPr>
          <w:p w14:paraId="0F175B8D" w14:textId="3C2715B8" w:rsidR="00B12D3F" w:rsidRPr="00BD7730" w:rsidRDefault="00F2624D" w:rsidP="00B12D3F">
            <w:pPr>
              <w:tabs>
                <w:tab w:val="center" w:pos="4153"/>
                <w:tab w:val="right" w:pos="8306"/>
              </w:tabs>
              <w:jc w:val="center"/>
              <w:rPr>
                <w:color w:val="000000"/>
              </w:rPr>
            </w:pPr>
            <w:r>
              <w:rPr>
                <w:color w:val="000000"/>
              </w:rPr>
              <w:t>32</w:t>
            </w:r>
          </w:p>
        </w:tc>
        <w:tc>
          <w:tcPr>
            <w:tcW w:w="993" w:type="dxa"/>
            <w:shd w:val="clear" w:color="auto" w:fill="FF0000"/>
            <w:vAlign w:val="center"/>
          </w:tcPr>
          <w:p w14:paraId="0E1FF6CF" w14:textId="02BDB627" w:rsidR="00B12D3F" w:rsidRPr="00BD7730" w:rsidRDefault="00F2624D" w:rsidP="00B12D3F">
            <w:pPr>
              <w:tabs>
                <w:tab w:val="center" w:pos="4153"/>
                <w:tab w:val="right" w:pos="8306"/>
              </w:tabs>
              <w:jc w:val="center"/>
              <w:rPr>
                <w:color w:val="000000"/>
              </w:rPr>
            </w:pPr>
            <w:r>
              <w:rPr>
                <w:color w:val="000000"/>
              </w:rPr>
              <w:t>39</w:t>
            </w:r>
          </w:p>
        </w:tc>
        <w:tc>
          <w:tcPr>
            <w:tcW w:w="850" w:type="dxa"/>
            <w:shd w:val="clear" w:color="auto" w:fill="FF0000"/>
            <w:vAlign w:val="center"/>
          </w:tcPr>
          <w:p w14:paraId="7B4C1AB8" w14:textId="2CA969C2" w:rsidR="00B12D3F" w:rsidRPr="00BD7730" w:rsidRDefault="00F2624D" w:rsidP="00B12D3F">
            <w:pPr>
              <w:tabs>
                <w:tab w:val="center" w:pos="4153"/>
                <w:tab w:val="right" w:pos="8306"/>
              </w:tabs>
              <w:jc w:val="center"/>
              <w:rPr>
                <w:color w:val="000000"/>
              </w:rPr>
            </w:pPr>
            <w:r>
              <w:rPr>
                <w:color w:val="000000"/>
              </w:rPr>
              <w:t>37</w:t>
            </w:r>
          </w:p>
        </w:tc>
        <w:tc>
          <w:tcPr>
            <w:tcW w:w="992" w:type="dxa"/>
            <w:shd w:val="clear" w:color="auto" w:fill="00B050"/>
            <w:vAlign w:val="center"/>
          </w:tcPr>
          <w:p w14:paraId="31A9F589" w14:textId="5C8531D8" w:rsidR="00B12D3F" w:rsidRPr="00BD7730" w:rsidRDefault="00B7686B" w:rsidP="00B12D3F">
            <w:pPr>
              <w:tabs>
                <w:tab w:val="center" w:pos="4153"/>
                <w:tab w:val="right" w:pos="8306"/>
              </w:tabs>
              <w:jc w:val="center"/>
              <w:rPr>
                <w:color w:val="000000"/>
              </w:rPr>
            </w:pPr>
            <w:r>
              <w:rPr>
                <w:color w:val="000000"/>
              </w:rPr>
              <w:t>33</w:t>
            </w:r>
          </w:p>
        </w:tc>
      </w:tr>
      <w:tr w:rsidR="00A81452" w:rsidRPr="000E2F9A" w14:paraId="27252683" w14:textId="77777777" w:rsidTr="00503CF7">
        <w:trPr>
          <w:jc w:val="center"/>
        </w:trPr>
        <w:tc>
          <w:tcPr>
            <w:tcW w:w="2122" w:type="dxa"/>
          </w:tcPr>
          <w:p w14:paraId="2F10BFEE" w14:textId="77777777" w:rsidR="00A81452" w:rsidRPr="00920535" w:rsidRDefault="00A81452" w:rsidP="00A81452">
            <w:pPr>
              <w:tabs>
                <w:tab w:val="center" w:pos="4153"/>
                <w:tab w:val="right" w:pos="8306"/>
              </w:tabs>
              <w:rPr>
                <w:b/>
              </w:rPr>
            </w:pPr>
            <w:r w:rsidRPr="00920535">
              <w:rPr>
                <w:b/>
              </w:rPr>
              <w:t>Delayed Discharge bed days lost rate per 1,000 75+ (standard)</w:t>
            </w:r>
          </w:p>
        </w:tc>
        <w:tc>
          <w:tcPr>
            <w:tcW w:w="997" w:type="dxa"/>
            <w:vAlign w:val="center"/>
          </w:tcPr>
          <w:p w14:paraId="309FDADD" w14:textId="5EF10D56" w:rsidR="00753127" w:rsidRPr="00BD7730" w:rsidRDefault="00B96125" w:rsidP="00A81452">
            <w:pPr>
              <w:tabs>
                <w:tab w:val="center" w:pos="4153"/>
                <w:tab w:val="right" w:pos="8306"/>
              </w:tabs>
              <w:jc w:val="center"/>
              <w:rPr>
                <w:color w:val="000000"/>
              </w:rPr>
            </w:pPr>
            <w:r>
              <w:rPr>
                <w:color w:val="000000"/>
              </w:rPr>
              <w:t>353</w:t>
            </w:r>
          </w:p>
        </w:tc>
        <w:tc>
          <w:tcPr>
            <w:tcW w:w="993" w:type="dxa"/>
            <w:shd w:val="clear" w:color="auto" w:fill="FF0000"/>
            <w:vAlign w:val="center"/>
          </w:tcPr>
          <w:p w14:paraId="7F9C1C1C" w14:textId="4914B7C3" w:rsidR="00753127" w:rsidRPr="00BD7730" w:rsidRDefault="00B96125" w:rsidP="00A81452">
            <w:pPr>
              <w:tabs>
                <w:tab w:val="center" w:pos="4153"/>
                <w:tab w:val="right" w:pos="8306"/>
              </w:tabs>
              <w:jc w:val="center"/>
              <w:rPr>
                <w:color w:val="000000"/>
              </w:rPr>
            </w:pPr>
            <w:r>
              <w:rPr>
                <w:color w:val="000000"/>
              </w:rPr>
              <w:t>391</w:t>
            </w:r>
          </w:p>
        </w:tc>
        <w:tc>
          <w:tcPr>
            <w:tcW w:w="992" w:type="dxa"/>
            <w:shd w:val="clear" w:color="auto" w:fill="FF0000"/>
            <w:vAlign w:val="center"/>
          </w:tcPr>
          <w:p w14:paraId="22EF577C" w14:textId="45CF197F" w:rsidR="00753127" w:rsidRPr="00BD7730" w:rsidRDefault="00B96125" w:rsidP="00A81452">
            <w:pPr>
              <w:tabs>
                <w:tab w:val="center" w:pos="4153"/>
                <w:tab w:val="right" w:pos="8306"/>
              </w:tabs>
              <w:jc w:val="center"/>
              <w:rPr>
                <w:color w:val="000000"/>
              </w:rPr>
            </w:pPr>
            <w:r>
              <w:rPr>
                <w:color w:val="000000"/>
              </w:rPr>
              <w:t>302</w:t>
            </w:r>
          </w:p>
        </w:tc>
        <w:tc>
          <w:tcPr>
            <w:tcW w:w="1134" w:type="dxa"/>
            <w:shd w:val="clear" w:color="auto" w:fill="FF0000"/>
            <w:vAlign w:val="center"/>
          </w:tcPr>
          <w:p w14:paraId="52FBE685" w14:textId="087F9CCF" w:rsidR="00753127" w:rsidRPr="00BD7730" w:rsidRDefault="00B96125" w:rsidP="00A81452">
            <w:pPr>
              <w:tabs>
                <w:tab w:val="center" w:pos="4153"/>
                <w:tab w:val="right" w:pos="8306"/>
              </w:tabs>
              <w:jc w:val="center"/>
              <w:rPr>
                <w:color w:val="000000"/>
              </w:rPr>
            </w:pPr>
            <w:r>
              <w:rPr>
                <w:color w:val="000000"/>
              </w:rPr>
              <w:t>474</w:t>
            </w:r>
          </w:p>
        </w:tc>
        <w:tc>
          <w:tcPr>
            <w:tcW w:w="992" w:type="dxa"/>
            <w:tcBorders>
              <w:bottom w:val="single" w:sz="4" w:space="0" w:color="auto"/>
            </w:tcBorders>
            <w:shd w:val="clear" w:color="auto" w:fill="00B050"/>
            <w:vAlign w:val="center"/>
          </w:tcPr>
          <w:p w14:paraId="24C7582E" w14:textId="1EA54132" w:rsidR="00753127" w:rsidRPr="00BD7730" w:rsidRDefault="004005D5" w:rsidP="00A81452">
            <w:pPr>
              <w:tabs>
                <w:tab w:val="center" w:pos="4153"/>
                <w:tab w:val="right" w:pos="8306"/>
              </w:tabs>
              <w:jc w:val="center"/>
              <w:rPr>
                <w:color w:val="000000"/>
              </w:rPr>
            </w:pPr>
            <w:r>
              <w:rPr>
                <w:color w:val="000000"/>
              </w:rPr>
              <w:t>141</w:t>
            </w:r>
          </w:p>
        </w:tc>
        <w:tc>
          <w:tcPr>
            <w:tcW w:w="992" w:type="dxa"/>
            <w:tcBorders>
              <w:bottom w:val="single" w:sz="4" w:space="0" w:color="auto"/>
            </w:tcBorders>
            <w:shd w:val="clear" w:color="auto" w:fill="00B050"/>
            <w:vAlign w:val="center"/>
          </w:tcPr>
          <w:p w14:paraId="0E8EAAB7" w14:textId="1F8B1F3D" w:rsidR="00753127" w:rsidRPr="00BD7730" w:rsidRDefault="004005D5" w:rsidP="00A81452">
            <w:pPr>
              <w:tabs>
                <w:tab w:val="center" w:pos="4153"/>
                <w:tab w:val="right" w:pos="8306"/>
              </w:tabs>
              <w:jc w:val="center"/>
              <w:rPr>
                <w:color w:val="000000"/>
              </w:rPr>
            </w:pPr>
            <w:r>
              <w:rPr>
                <w:color w:val="000000"/>
              </w:rPr>
              <w:t>204</w:t>
            </w:r>
          </w:p>
        </w:tc>
        <w:tc>
          <w:tcPr>
            <w:tcW w:w="993" w:type="dxa"/>
            <w:tcBorders>
              <w:bottom w:val="single" w:sz="4" w:space="0" w:color="auto"/>
            </w:tcBorders>
            <w:shd w:val="clear" w:color="auto" w:fill="00B050"/>
            <w:vAlign w:val="center"/>
          </w:tcPr>
          <w:p w14:paraId="1237E555" w14:textId="76FF008F" w:rsidR="00753127" w:rsidRPr="00BD7730" w:rsidRDefault="004005D5" w:rsidP="00A81452">
            <w:pPr>
              <w:tabs>
                <w:tab w:val="center" w:pos="4153"/>
                <w:tab w:val="right" w:pos="8306"/>
              </w:tabs>
              <w:jc w:val="center"/>
              <w:rPr>
                <w:color w:val="000000"/>
              </w:rPr>
            </w:pPr>
            <w:r>
              <w:rPr>
                <w:color w:val="000000"/>
              </w:rPr>
              <w:t>295</w:t>
            </w:r>
          </w:p>
        </w:tc>
        <w:tc>
          <w:tcPr>
            <w:tcW w:w="850" w:type="dxa"/>
            <w:shd w:val="clear" w:color="auto" w:fill="FF0000"/>
            <w:vAlign w:val="center"/>
          </w:tcPr>
          <w:p w14:paraId="05659FDC" w14:textId="76603271" w:rsidR="00753127" w:rsidRPr="00BD7730" w:rsidRDefault="004005D5" w:rsidP="00A81452">
            <w:pPr>
              <w:tabs>
                <w:tab w:val="center" w:pos="4153"/>
                <w:tab w:val="right" w:pos="8306"/>
              </w:tabs>
              <w:jc w:val="center"/>
              <w:rPr>
                <w:color w:val="000000"/>
              </w:rPr>
            </w:pPr>
            <w:r>
              <w:rPr>
                <w:color w:val="000000"/>
              </w:rPr>
              <w:t>479</w:t>
            </w:r>
          </w:p>
        </w:tc>
        <w:tc>
          <w:tcPr>
            <w:tcW w:w="992" w:type="dxa"/>
            <w:shd w:val="clear" w:color="auto" w:fill="FF0000"/>
            <w:vAlign w:val="center"/>
          </w:tcPr>
          <w:p w14:paraId="26B27452" w14:textId="628B1C28" w:rsidR="00753127" w:rsidRPr="00BD7730" w:rsidRDefault="004005D5" w:rsidP="00A81452">
            <w:pPr>
              <w:tabs>
                <w:tab w:val="center" w:pos="4153"/>
                <w:tab w:val="right" w:pos="8306"/>
              </w:tabs>
              <w:jc w:val="center"/>
              <w:rPr>
                <w:color w:val="000000"/>
              </w:rPr>
            </w:pPr>
            <w:r>
              <w:rPr>
                <w:color w:val="000000" w:themeColor="text1"/>
              </w:rPr>
              <w:t>390</w:t>
            </w:r>
          </w:p>
        </w:tc>
      </w:tr>
      <w:tr w:rsidR="00254238" w14:paraId="6CE5256D" w14:textId="77777777" w:rsidTr="001D0007">
        <w:trPr>
          <w:trHeight w:val="70"/>
          <w:jc w:val="center"/>
        </w:trPr>
        <w:tc>
          <w:tcPr>
            <w:tcW w:w="2122" w:type="dxa"/>
          </w:tcPr>
          <w:p w14:paraId="27D538BE" w14:textId="77777777" w:rsidR="00653622" w:rsidRDefault="00254238" w:rsidP="00254238">
            <w:pPr>
              <w:tabs>
                <w:tab w:val="center" w:pos="4153"/>
                <w:tab w:val="right" w:pos="8306"/>
              </w:tabs>
              <w:rPr>
                <w:b/>
              </w:rPr>
            </w:pPr>
            <w:r w:rsidRPr="00920535">
              <w:rPr>
                <w:b/>
              </w:rPr>
              <w:t xml:space="preserve">Delayed Discharge bed days lost rate per 1,000 75+ </w:t>
            </w:r>
          </w:p>
          <w:p w14:paraId="57433652" w14:textId="39EE9462" w:rsidR="00254238" w:rsidRPr="00920535" w:rsidRDefault="00254238" w:rsidP="00254238">
            <w:pPr>
              <w:tabs>
                <w:tab w:val="center" w:pos="4153"/>
                <w:tab w:val="right" w:pos="8306"/>
              </w:tabs>
              <w:rPr>
                <w:b/>
              </w:rPr>
            </w:pPr>
            <w:r w:rsidRPr="00920535">
              <w:rPr>
                <w:b/>
              </w:rPr>
              <w:t>(Code 9)</w:t>
            </w:r>
          </w:p>
        </w:tc>
        <w:tc>
          <w:tcPr>
            <w:tcW w:w="997" w:type="dxa"/>
            <w:vAlign w:val="center"/>
          </w:tcPr>
          <w:p w14:paraId="4887D39C" w14:textId="02D74EE6" w:rsidR="00753127" w:rsidRPr="00BD7730" w:rsidRDefault="002269CD" w:rsidP="00254238">
            <w:pPr>
              <w:tabs>
                <w:tab w:val="center" w:pos="4153"/>
                <w:tab w:val="right" w:pos="8306"/>
              </w:tabs>
              <w:jc w:val="center"/>
              <w:rPr>
                <w:color w:val="000000"/>
              </w:rPr>
            </w:pPr>
            <w:r>
              <w:rPr>
                <w:color w:val="000000"/>
              </w:rPr>
              <w:t>69</w:t>
            </w:r>
          </w:p>
        </w:tc>
        <w:tc>
          <w:tcPr>
            <w:tcW w:w="993" w:type="dxa"/>
            <w:shd w:val="clear" w:color="auto" w:fill="FF0000"/>
            <w:vAlign w:val="center"/>
          </w:tcPr>
          <w:p w14:paraId="1DCDF020" w14:textId="7FA6CADD" w:rsidR="00753127" w:rsidRPr="00BD7730" w:rsidRDefault="002269CD" w:rsidP="00254238">
            <w:pPr>
              <w:tabs>
                <w:tab w:val="center" w:pos="4153"/>
                <w:tab w:val="right" w:pos="8306"/>
              </w:tabs>
              <w:jc w:val="center"/>
              <w:rPr>
                <w:color w:val="000000"/>
              </w:rPr>
            </w:pPr>
            <w:r>
              <w:rPr>
                <w:color w:val="000000"/>
              </w:rPr>
              <w:t>93</w:t>
            </w:r>
          </w:p>
        </w:tc>
        <w:tc>
          <w:tcPr>
            <w:tcW w:w="992" w:type="dxa"/>
            <w:shd w:val="clear" w:color="auto" w:fill="FF0000"/>
            <w:vAlign w:val="center"/>
          </w:tcPr>
          <w:p w14:paraId="0081B70C" w14:textId="6F64FD8B" w:rsidR="00753127" w:rsidRPr="00BD7730" w:rsidRDefault="002269CD" w:rsidP="00254238">
            <w:pPr>
              <w:tabs>
                <w:tab w:val="center" w:pos="4153"/>
                <w:tab w:val="right" w:pos="8306"/>
              </w:tabs>
              <w:jc w:val="center"/>
              <w:rPr>
                <w:color w:val="000000"/>
              </w:rPr>
            </w:pPr>
            <w:r>
              <w:rPr>
                <w:color w:val="000000"/>
              </w:rPr>
              <w:t>266</w:t>
            </w:r>
          </w:p>
        </w:tc>
        <w:tc>
          <w:tcPr>
            <w:tcW w:w="1134" w:type="dxa"/>
            <w:shd w:val="clear" w:color="auto" w:fill="00B050"/>
            <w:vAlign w:val="center"/>
          </w:tcPr>
          <w:p w14:paraId="0B57FC6A" w14:textId="57161190" w:rsidR="00753127" w:rsidRPr="00BD7730" w:rsidRDefault="00890DE6" w:rsidP="00254238">
            <w:pPr>
              <w:tabs>
                <w:tab w:val="center" w:pos="4153"/>
                <w:tab w:val="right" w:pos="8306"/>
              </w:tabs>
              <w:jc w:val="center"/>
              <w:rPr>
                <w:color w:val="000000"/>
              </w:rPr>
            </w:pPr>
            <w:r>
              <w:rPr>
                <w:color w:val="000000"/>
              </w:rPr>
              <w:t>43</w:t>
            </w:r>
          </w:p>
        </w:tc>
        <w:tc>
          <w:tcPr>
            <w:tcW w:w="992" w:type="dxa"/>
            <w:shd w:val="clear" w:color="auto" w:fill="00B050"/>
            <w:vAlign w:val="center"/>
          </w:tcPr>
          <w:p w14:paraId="497B12B3" w14:textId="501DF50E" w:rsidR="00753127" w:rsidRPr="00BD7730" w:rsidRDefault="002269CD" w:rsidP="00254238">
            <w:pPr>
              <w:tabs>
                <w:tab w:val="center" w:pos="4153"/>
                <w:tab w:val="right" w:pos="8306"/>
              </w:tabs>
              <w:jc w:val="center"/>
              <w:rPr>
                <w:color w:val="000000"/>
              </w:rPr>
            </w:pPr>
            <w:r>
              <w:rPr>
                <w:color w:val="000000"/>
              </w:rPr>
              <w:t>0</w:t>
            </w:r>
            <w:r w:rsidR="00A170C8">
              <w:rPr>
                <w:color w:val="000000"/>
              </w:rPr>
              <w:t>*</w:t>
            </w:r>
          </w:p>
        </w:tc>
        <w:tc>
          <w:tcPr>
            <w:tcW w:w="992" w:type="dxa"/>
            <w:shd w:val="clear" w:color="auto" w:fill="FF0000"/>
            <w:vAlign w:val="center"/>
          </w:tcPr>
          <w:p w14:paraId="1189381B" w14:textId="3C0841A2" w:rsidR="00753127" w:rsidRPr="00BD7730" w:rsidRDefault="002269CD" w:rsidP="00254238">
            <w:pPr>
              <w:tabs>
                <w:tab w:val="center" w:pos="4153"/>
                <w:tab w:val="right" w:pos="8306"/>
              </w:tabs>
              <w:jc w:val="center"/>
              <w:rPr>
                <w:color w:val="000000"/>
              </w:rPr>
            </w:pPr>
            <w:r>
              <w:rPr>
                <w:color w:val="000000"/>
              </w:rPr>
              <w:t>83</w:t>
            </w:r>
          </w:p>
        </w:tc>
        <w:tc>
          <w:tcPr>
            <w:tcW w:w="993" w:type="dxa"/>
            <w:shd w:val="clear" w:color="auto" w:fill="00B050"/>
            <w:vAlign w:val="center"/>
          </w:tcPr>
          <w:p w14:paraId="583A2226" w14:textId="33010B75" w:rsidR="00753127" w:rsidRPr="00BD7730" w:rsidRDefault="00D55571" w:rsidP="00254238">
            <w:pPr>
              <w:tabs>
                <w:tab w:val="center" w:pos="4153"/>
                <w:tab w:val="right" w:pos="8306"/>
              </w:tabs>
              <w:jc w:val="center"/>
              <w:rPr>
                <w:color w:val="000000"/>
              </w:rPr>
            </w:pPr>
            <w:r>
              <w:rPr>
                <w:color w:val="000000"/>
              </w:rPr>
              <w:t>28</w:t>
            </w:r>
          </w:p>
        </w:tc>
        <w:tc>
          <w:tcPr>
            <w:tcW w:w="850" w:type="dxa"/>
            <w:shd w:val="clear" w:color="auto" w:fill="00B050"/>
            <w:vAlign w:val="center"/>
          </w:tcPr>
          <w:p w14:paraId="493CEA70" w14:textId="36E8EBFF" w:rsidR="00753127" w:rsidRPr="00BD7730" w:rsidRDefault="00D55571" w:rsidP="00254238">
            <w:pPr>
              <w:tabs>
                <w:tab w:val="center" w:pos="4153"/>
                <w:tab w:val="right" w:pos="8306"/>
              </w:tabs>
              <w:jc w:val="center"/>
              <w:rPr>
                <w:color w:val="000000"/>
              </w:rPr>
            </w:pPr>
            <w:r>
              <w:rPr>
                <w:color w:val="000000"/>
              </w:rPr>
              <w:t>30</w:t>
            </w:r>
          </w:p>
        </w:tc>
        <w:tc>
          <w:tcPr>
            <w:tcW w:w="992" w:type="dxa"/>
            <w:shd w:val="clear" w:color="auto" w:fill="00B050"/>
            <w:vAlign w:val="center"/>
          </w:tcPr>
          <w:p w14:paraId="40FAB456" w14:textId="0989F67B" w:rsidR="00753127" w:rsidRPr="00BD7730" w:rsidRDefault="00D55571" w:rsidP="00254238">
            <w:pPr>
              <w:tabs>
                <w:tab w:val="center" w:pos="4153"/>
                <w:tab w:val="right" w:pos="8306"/>
              </w:tabs>
              <w:jc w:val="center"/>
              <w:rPr>
                <w:color w:val="000000"/>
              </w:rPr>
            </w:pPr>
            <w:r>
              <w:rPr>
                <w:color w:val="000000" w:themeColor="text1"/>
              </w:rPr>
              <w:t>24</w:t>
            </w:r>
          </w:p>
        </w:tc>
      </w:tr>
    </w:tbl>
    <w:p w14:paraId="2DD9ACCD" w14:textId="06B0CBF0" w:rsidR="00D15AE4" w:rsidRDefault="00D15AE4" w:rsidP="00D15AE4">
      <w:pPr>
        <w:spacing w:after="160" w:line="259" w:lineRule="auto"/>
        <w:rPr>
          <w:color w:val="000000"/>
        </w:rPr>
      </w:pPr>
      <w:bookmarkStart w:id="3" w:name="RANGE!A1:K18"/>
      <w:bookmarkEnd w:id="3"/>
      <w:r w:rsidRPr="00982B55">
        <w:rPr>
          <w:rFonts w:cs="Arial"/>
        </w:rPr>
        <w:t>Source:</w:t>
      </w:r>
      <w:r w:rsidRPr="00982B55">
        <w:rPr>
          <w:color w:val="000000"/>
        </w:rPr>
        <w:t xml:space="preserve"> NHS Tayside </w:t>
      </w:r>
      <w:r w:rsidR="00503CF7">
        <w:rPr>
          <w:color w:val="000000"/>
        </w:rPr>
        <w:t>BSU</w:t>
      </w:r>
    </w:p>
    <w:p w14:paraId="40D79AF4" w14:textId="7A6A428E" w:rsidR="00C03A73" w:rsidRDefault="00C03A73" w:rsidP="00D15AE4">
      <w:pPr>
        <w:spacing w:after="160" w:line="259" w:lineRule="auto"/>
        <w:rPr>
          <w:color w:val="000000"/>
        </w:rPr>
      </w:pPr>
      <w:r w:rsidRPr="4C071F3D">
        <w:rPr>
          <w:color w:val="000000" w:themeColor="text1"/>
        </w:rPr>
        <w:t>Note:  This table shows the Dundee position a</w:t>
      </w:r>
      <w:r w:rsidR="00031A9A" w:rsidRPr="4C071F3D">
        <w:rPr>
          <w:color w:val="000000" w:themeColor="text1"/>
        </w:rPr>
        <w:t xml:space="preserve">longside the position for the 8 LCPPs.  Where the LCPP position is poorer than Dundee this is coded as red (worse than Dundee) and where the LCPP position is better than Dundee this is coded as green.  </w:t>
      </w:r>
    </w:p>
    <w:p w14:paraId="643FC561" w14:textId="3E24D8E8" w:rsidR="2989FDCF" w:rsidRDefault="2989FDCF" w:rsidP="4C071F3D">
      <w:pPr>
        <w:spacing w:after="160" w:line="259" w:lineRule="auto"/>
        <w:rPr>
          <w:rFonts w:eastAsia="Arial" w:cs="Arial"/>
        </w:rPr>
      </w:pPr>
      <w:r w:rsidRPr="4C071F3D">
        <w:rPr>
          <w:rFonts w:eastAsia="Arial" w:cs="Arial"/>
          <w:color w:val="000000" w:themeColor="text1"/>
          <w:sz w:val="19"/>
          <w:szCs w:val="19"/>
        </w:rPr>
        <w:t xml:space="preserve">*There have been no code 9 bed days lost for </w:t>
      </w:r>
      <w:proofErr w:type="gramStart"/>
      <w:r w:rsidR="00DD7AFF">
        <w:rPr>
          <w:rFonts w:eastAsia="Arial" w:cs="Arial"/>
          <w:color w:val="000000" w:themeColor="text1"/>
          <w:sz w:val="19"/>
          <w:szCs w:val="19"/>
        </w:rPr>
        <w:t>North</w:t>
      </w:r>
      <w:r w:rsidR="00DB5D79">
        <w:rPr>
          <w:rFonts w:eastAsia="Arial" w:cs="Arial"/>
          <w:color w:val="000000" w:themeColor="text1"/>
          <w:sz w:val="19"/>
          <w:szCs w:val="19"/>
        </w:rPr>
        <w:t xml:space="preserve"> East</w:t>
      </w:r>
      <w:proofErr w:type="gramEnd"/>
      <w:r w:rsidRPr="4C071F3D">
        <w:rPr>
          <w:rFonts w:eastAsia="Arial" w:cs="Arial"/>
          <w:color w:val="000000" w:themeColor="text1"/>
          <w:sz w:val="19"/>
          <w:szCs w:val="19"/>
        </w:rPr>
        <w:t xml:space="preserve"> between </w:t>
      </w:r>
      <w:r w:rsidR="00DD7AFF">
        <w:rPr>
          <w:rFonts w:eastAsia="Arial" w:cs="Arial"/>
          <w:color w:val="000000" w:themeColor="text1"/>
          <w:sz w:val="19"/>
          <w:szCs w:val="19"/>
        </w:rPr>
        <w:t>April 23</w:t>
      </w:r>
      <w:r w:rsidRPr="4C071F3D">
        <w:rPr>
          <w:rFonts w:eastAsia="Arial" w:cs="Arial"/>
          <w:color w:val="000000" w:themeColor="text1"/>
          <w:sz w:val="19"/>
          <w:szCs w:val="19"/>
        </w:rPr>
        <w:t xml:space="preserve"> to </w:t>
      </w:r>
      <w:r w:rsidR="00DD7AFF">
        <w:rPr>
          <w:rFonts w:eastAsia="Arial" w:cs="Arial"/>
          <w:color w:val="000000" w:themeColor="text1"/>
          <w:sz w:val="19"/>
          <w:szCs w:val="19"/>
        </w:rPr>
        <w:t>March 24</w:t>
      </w:r>
      <w:r w:rsidRPr="4C071F3D">
        <w:rPr>
          <w:rFonts w:eastAsia="Arial" w:cs="Arial"/>
          <w:color w:val="000000" w:themeColor="text1"/>
          <w:sz w:val="19"/>
          <w:szCs w:val="19"/>
        </w:rPr>
        <w:t xml:space="preserve">.  </w:t>
      </w:r>
      <w:r w:rsidR="00BF26A6">
        <w:rPr>
          <w:rFonts w:eastAsia="Arial" w:cs="Arial"/>
          <w:color w:val="000000" w:themeColor="text1"/>
          <w:sz w:val="19"/>
          <w:szCs w:val="19"/>
        </w:rPr>
        <w:t xml:space="preserve">The last delays for this LCPP </w:t>
      </w:r>
      <w:proofErr w:type="gramStart"/>
      <w:r w:rsidR="00BF26A6">
        <w:rPr>
          <w:rFonts w:eastAsia="Arial" w:cs="Arial"/>
          <w:color w:val="000000" w:themeColor="text1"/>
          <w:sz w:val="19"/>
          <w:szCs w:val="19"/>
        </w:rPr>
        <w:t>was</w:t>
      </w:r>
      <w:proofErr w:type="gramEnd"/>
      <w:r w:rsidR="00BF26A6">
        <w:rPr>
          <w:rFonts w:eastAsia="Arial" w:cs="Arial"/>
          <w:color w:val="000000" w:themeColor="text1"/>
          <w:sz w:val="19"/>
          <w:szCs w:val="19"/>
        </w:rPr>
        <w:t xml:space="preserve"> in quarter 4</w:t>
      </w:r>
      <w:r w:rsidR="0064216F">
        <w:rPr>
          <w:rFonts w:eastAsia="Arial" w:cs="Arial"/>
          <w:color w:val="000000" w:themeColor="text1"/>
          <w:sz w:val="19"/>
          <w:szCs w:val="19"/>
        </w:rPr>
        <w:t xml:space="preserve"> 2022/23.</w:t>
      </w:r>
    </w:p>
    <w:p w14:paraId="781874C5" w14:textId="4C53C4E0" w:rsidR="00D15AE4" w:rsidRPr="009F1AEE" w:rsidRDefault="00F71901" w:rsidP="00D15AE4">
      <w:pPr>
        <w:spacing w:after="160" w:line="259" w:lineRule="auto"/>
        <w:rPr>
          <w:b/>
        </w:rPr>
      </w:pPr>
      <w:r>
        <w:rPr>
          <w:noProof/>
          <w:lang w:eastAsia="en-GB"/>
        </w:rPr>
        <mc:AlternateContent>
          <mc:Choice Requires="wps">
            <w:drawing>
              <wp:anchor distT="0" distB="0" distL="114300" distR="114300" simplePos="0" relativeHeight="251658244" behindDoc="0" locked="0" layoutInCell="1" allowOverlap="1" wp14:anchorId="73520FA4" wp14:editId="6870A3F5">
                <wp:simplePos x="0" y="0"/>
                <wp:positionH relativeFrom="column">
                  <wp:posOffset>4029075</wp:posOffset>
                </wp:positionH>
                <wp:positionV relativeFrom="paragraph">
                  <wp:posOffset>12065</wp:posOffset>
                </wp:positionV>
                <wp:extent cx="504825" cy="219075"/>
                <wp:effectExtent l="0" t="0" r="9525" b="95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E1439" id="Rectangle 25" o:spid="_x0000_s1026" style="position:absolute;margin-left:317.25pt;margin-top:.95pt;width:39.75pt;height:17.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" fillcolor="red"/>
            </w:pict>
          </mc:Fallback>
        </mc:AlternateContent>
      </w:r>
      <w:r>
        <w:rPr>
          <w:noProof/>
          <w:lang w:eastAsia="en-GB"/>
        </w:rPr>
        <mc:AlternateContent>
          <mc:Choice Requires="wps">
            <w:drawing>
              <wp:anchor distT="0" distB="0" distL="114300" distR="114300" simplePos="0" relativeHeight="251658243" behindDoc="0" locked="0" layoutInCell="1" allowOverlap="1" wp14:anchorId="2E2EE8F6" wp14:editId="1D40910B">
                <wp:simplePos x="0" y="0"/>
                <wp:positionH relativeFrom="column">
                  <wp:posOffset>2209800</wp:posOffset>
                </wp:positionH>
                <wp:positionV relativeFrom="paragraph">
                  <wp:posOffset>12065</wp:posOffset>
                </wp:positionV>
                <wp:extent cx="504825" cy="219075"/>
                <wp:effectExtent l="0" t="0" r="9525"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443D0" id="Rectangle 26" o:spid="_x0000_s1026" style="position:absolute;margin-left:174pt;margin-top:.95pt;width:39.75pt;height:17.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" fillcolor="#ffc000"/>
            </w:pict>
          </mc:Fallback>
        </mc:AlternateContent>
      </w:r>
      <w:r>
        <w:rPr>
          <w:noProof/>
          <w:lang w:eastAsia="en-GB"/>
        </w:rPr>
        <mc:AlternateContent>
          <mc:Choice Requires="wps">
            <w:drawing>
              <wp:anchor distT="0" distB="0" distL="114300" distR="114300" simplePos="0" relativeHeight="251658242" behindDoc="0" locked="0" layoutInCell="1" allowOverlap="1" wp14:anchorId="58ABEBE0" wp14:editId="09E9A2E5">
                <wp:simplePos x="0" y="0"/>
                <wp:positionH relativeFrom="column">
                  <wp:posOffset>514350</wp:posOffset>
                </wp:positionH>
                <wp:positionV relativeFrom="paragraph">
                  <wp:posOffset>21590</wp:posOffset>
                </wp:positionV>
                <wp:extent cx="504825" cy="219075"/>
                <wp:effectExtent l="0" t="0" r="9525"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95825" id="Rectangle 27" o:spid="_x0000_s1026" style="position:absolute;margin-left:40.5pt;margin-top:1.7pt;width:39.75pt;height:1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" fillcolor="#00b050"/>
            </w:pict>
          </mc:Fallback>
        </mc:AlternateContent>
      </w:r>
      <w:r w:rsidR="00D15AE4">
        <w:rPr>
          <w:color w:val="000000"/>
        </w:rPr>
        <w:t xml:space="preserve">Key:                         </w:t>
      </w:r>
      <w:r w:rsidR="00D15AE4">
        <w:t>Improved/Better                       Stayed the same                        Declined/Worse</w:t>
      </w:r>
    </w:p>
    <w:p w14:paraId="5D448F3E" w14:textId="77777777" w:rsidR="007B3A6E" w:rsidRDefault="007B3A6E" w:rsidP="000072A4">
      <w:pPr>
        <w:jc w:val="both"/>
        <w:rPr>
          <w:rFonts w:cs="Arial"/>
          <w:b/>
          <w:sz w:val="22"/>
          <w:szCs w:val="22"/>
        </w:rPr>
      </w:pPr>
    </w:p>
    <w:p w14:paraId="2A382A19" w14:textId="77777777" w:rsidR="007B3A6E" w:rsidRDefault="007B3A6E" w:rsidP="000072A4">
      <w:pPr>
        <w:jc w:val="both"/>
        <w:rPr>
          <w:rFonts w:cs="Arial"/>
          <w:b/>
          <w:sz w:val="22"/>
          <w:szCs w:val="22"/>
        </w:rPr>
      </w:pPr>
    </w:p>
    <w:p w14:paraId="47B3BC20" w14:textId="77777777" w:rsidR="007B3A6E" w:rsidRDefault="007B3A6E" w:rsidP="000072A4">
      <w:pPr>
        <w:jc w:val="both"/>
        <w:rPr>
          <w:rFonts w:cs="Arial"/>
          <w:b/>
          <w:sz w:val="22"/>
          <w:szCs w:val="22"/>
        </w:rPr>
      </w:pPr>
    </w:p>
    <w:p w14:paraId="5544F68F" w14:textId="77777777" w:rsidR="007B3A6E" w:rsidRDefault="007B3A6E" w:rsidP="000072A4">
      <w:pPr>
        <w:jc w:val="both"/>
        <w:rPr>
          <w:rFonts w:cs="Arial"/>
          <w:b/>
          <w:sz w:val="22"/>
          <w:szCs w:val="22"/>
        </w:rPr>
      </w:pPr>
    </w:p>
    <w:p w14:paraId="51B3AB1B" w14:textId="77777777" w:rsidR="007B3A6E" w:rsidRDefault="007B3A6E" w:rsidP="000072A4">
      <w:pPr>
        <w:jc w:val="both"/>
        <w:rPr>
          <w:rFonts w:cs="Arial"/>
          <w:b/>
          <w:sz w:val="22"/>
          <w:szCs w:val="22"/>
        </w:rPr>
      </w:pPr>
    </w:p>
    <w:p w14:paraId="74B81EDF" w14:textId="77777777" w:rsidR="007B3A6E" w:rsidRDefault="007B3A6E" w:rsidP="000072A4">
      <w:pPr>
        <w:jc w:val="both"/>
        <w:rPr>
          <w:rFonts w:cs="Arial"/>
          <w:b/>
          <w:sz w:val="22"/>
          <w:szCs w:val="22"/>
        </w:rPr>
      </w:pPr>
    </w:p>
    <w:p w14:paraId="568538B6" w14:textId="77777777" w:rsidR="00D15AE4" w:rsidRDefault="00D15AE4" w:rsidP="000072A4">
      <w:pPr>
        <w:jc w:val="both"/>
        <w:rPr>
          <w:rFonts w:cs="Arial"/>
          <w:b/>
          <w:sz w:val="22"/>
          <w:szCs w:val="22"/>
        </w:rPr>
      </w:pPr>
    </w:p>
    <w:p w14:paraId="4FDD86F1" w14:textId="77777777" w:rsidR="00D15AE4" w:rsidRDefault="00D15AE4" w:rsidP="000072A4">
      <w:pPr>
        <w:jc w:val="both"/>
        <w:rPr>
          <w:rFonts w:cs="Arial"/>
          <w:b/>
          <w:sz w:val="22"/>
          <w:szCs w:val="22"/>
        </w:rPr>
      </w:pPr>
    </w:p>
    <w:p w14:paraId="008EA9D1" w14:textId="77777777" w:rsidR="00D15AE4" w:rsidRDefault="00D15AE4" w:rsidP="000072A4">
      <w:pPr>
        <w:jc w:val="both"/>
        <w:rPr>
          <w:rFonts w:cs="Arial"/>
          <w:b/>
          <w:sz w:val="22"/>
          <w:szCs w:val="22"/>
        </w:rPr>
      </w:pPr>
    </w:p>
    <w:p w14:paraId="7C15575E" w14:textId="77777777" w:rsidR="00D15AE4" w:rsidRDefault="00D15AE4" w:rsidP="000072A4">
      <w:pPr>
        <w:jc w:val="both"/>
        <w:rPr>
          <w:rFonts w:cs="Arial"/>
          <w:b/>
          <w:sz w:val="22"/>
          <w:szCs w:val="22"/>
        </w:rPr>
      </w:pPr>
    </w:p>
    <w:p w14:paraId="59C5A3F0" w14:textId="77777777" w:rsidR="00D15AE4" w:rsidRDefault="00D15AE4">
      <w:pPr>
        <w:spacing w:after="160" w:line="259" w:lineRule="auto"/>
        <w:rPr>
          <w:rFonts w:cs="Arial"/>
          <w:b/>
          <w:sz w:val="22"/>
          <w:szCs w:val="22"/>
        </w:rPr>
      </w:pPr>
      <w:r>
        <w:rPr>
          <w:rFonts w:cs="Arial"/>
          <w:b/>
          <w:sz w:val="22"/>
          <w:szCs w:val="22"/>
        </w:rPr>
        <w:br w:type="page"/>
      </w:r>
    </w:p>
    <w:p w14:paraId="0E2F1E0F" w14:textId="77777777" w:rsidR="00A011FE" w:rsidRDefault="00A011FE" w:rsidP="000072A4">
      <w:pPr>
        <w:jc w:val="both"/>
        <w:rPr>
          <w:rFonts w:cs="Arial"/>
          <w:b/>
          <w:sz w:val="22"/>
          <w:szCs w:val="22"/>
        </w:rPr>
        <w:sectPr w:rsidR="00A011FE" w:rsidSect="00A011FE">
          <w:footerReference w:type="first" r:id="rId12"/>
          <w:pgSz w:w="11907" w:h="16840" w:code="9"/>
          <w:pgMar w:top="1440" w:right="1440" w:bottom="1440" w:left="1134" w:header="720" w:footer="340" w:gutter="0"/>
          <w:paperSrc w:first="260" w:other="260"/>
          <w:pgNumType w:start="1"/>
          <w:cols w:space="720"/>
          <w:titlePg/>
          <w:docGrid w:linePitch="272"/>
        </w:sectPr>
      </w:pPr>
    </w:p>
    <w:p w14:paraId="76C5A139" w14:textId="73B318CA" w:rsidR="003016A7" w:rsidRDefault="00A011FE" w:rsidP="003016A7">
      <w:pPr>
        <w:pStyle w:val="Heading1"/>
        <w:rPr>
          <w:sz w:val="22"/>
          <w:szCs w:val="22"/>
        </w:rPr>
      </w:pPr>
      <w:r w:rsidRPr="6CB3F99A">
        <w:rPr>
          <w:sz w:val="22"/>
          <w:szCs w:val="22"/>
        </w:rPr>
        <w:t>T</w:t>
      </w:r>
      <w:r w:rsidR="003016A7" w:rsidRPr="6CB3F99A">
        <w:rPr>
          <w:sz w:val="22"/>
          <w:szCs w:val="22"/>
        </w:rPr>
        <w:t xml:space="preserve">able </w:t>
      </w:r>
      <w:r w:rsidRPr="6CB3F99A">
        <w:rPr>
          <w:sz w:val="22"/>
          <w:szCs w:val="22"/>
        </w:rPr>
        <w:t>3</w:t>
      </w:r>
      <w:r w:rsidR="003016A7" w:rsidRPr="6CB3F99A">
        <w:rPr>
          <w:sz w:val="22"/>
          <w:szCs w:val="22"/>
        </w:rPr>
        <w:t xml:space="preserve">: Performance in Dundee’s LCPPs - LCPP Performance in </w:t>
      </w:r>
      <w:r w:rsidR="003016A7" w:rsidRPr="6CB3F99A">
        <w:rPr>
          <w:sz w:val="22"/>
          <w:szCs w:val="22"/>
          <w:lang w:val="en-US"/>
        </w:rPr>
        <w:t>Q</w:t>
      </w:r>
      <w:r w:rsidR="00A41C44">
        <w:rPr>
          <w:sz w:val="22"/>
          <w:szCs w:val="22"/>
          <w:lang w:val="en-US"/>
        </w:rPr>
        <w:t>4</w:t>
      </w:r>
      <w:r w:rsidR="003016A7" w:rsidRPr="6CB3F99A">
        <w:rPr>
          <w:sz w:val="22"/>
          <w:szCs w:val="22"/>
          <w:lang w:val="en-US"/>
        </w:rPr>
        <w:t xml:space="preserve"> </w:t>
      </w:r>
      <w:r w:rsidR="003016A7" w:rsidRPr="6CB3F99A">
        <w:rPr>
          <w:sz w:val="22"/>
          <w:szCs w:val="22"/>
        </w:rPr>
        <w:t>202</w:t>
      </w:r>
      <w:r w:rsidR="002D6FC8" w:rsidRPr="6CB3F99A">
        <w:rPr>
          <w:sz w:val="22"/>
          <w:szCs w:val="22"/>
        </w:rPr>
        <w:t>3-24</w:t>
      </w:r>
      <w:r w:rsidR="003016A7" w:rsidRPr="6CB3F99A">
        <w:rPr>
          <w:sz w:val="22"/>
          <w:szCs w:val="22"/>
        </w:rPr>
        <w:t xml:space="preserve"> compared to Dundee</w:t>
      </w:r>
    </w:p>
    <w:tbl>
      <w:tblPr>
        <w:tblStyle w:val="TableGrid"/>
        <w:tblW w:w="0" w:type="auto"/>
        <w:tblLook w:val="04A0" w:firstRow="1" w:lastRow="0" w:firstColumn="1" w:lastColumn="0" w:noHBand="0" w:noVBand="1"/>
      </w:tblPr>
      <w:tblGrid>
        <w:gridCol w:w="1838"/>
        <w:gridCol w:w="1701"/>
        <w:gridCol w:w="1985"/>
        <w:gridCol w:w="1842"/>
      </w:tblGrid>
      <w:tr w:rsidR="00C74CF6" w14:paraId="3AF5021F" w14:textId="7D878CF4" w:rsidTr="00C74CF6">
        <w:tc>
          <w:tcPr>
            <w:tcW w:w="1838" w:type="dxa"/>
          </w:tcPr>
          <w:p w14:paraId="6A0C040C" w14:textId="77777777" w:rsidR="00C74CF6" w:rsidRPr="00532C43" w:rsidRDefault="00C74CF6" w:rsidP="00C74CF6">
            <w:r>
              <w:t>Dundee          = D</w:t>
            </w:r>
          </w:p>
        </w:tc>
        <w:tc>
          <w:tcPr>
            <w:tcW w:w="1701" w:type="dxa"/>
          </w:tcPr>
          <w:p w14:paraId="6A041DB8" w14:textId="77777777" w:rsidR="00C74CF6" w:rsidRPr="00532C43" w:rsidRDefault="00C74CF6" w:rsidP="00C74CF6">
            <w:r>
              <w:t>East End    = EE</w:t>
            </w:r>
          </w:p>
        </w:tc>
        <w:tc>
          <w:tcPr>
            <w:tcW w:w="1985" w:type="dxa"/>
          </w:tcPr>
          <w:p w14:paraId="333479EC" w14:textId="10C6AAE9" w:rsidR="00C74CF6" w:rsidRDefault="00C74CF6" w:rsidP="00C74CF6">
            <w:proofErr w:type="spellStart"/>
            <w:r>
              <w:t>Coldside</w:t>
            </w:r>
            <w:proofErr w:type="spellEnd"/>
            <w:r>
              <w:t xml:space="preserve">         = C</w:t>
            </w:r>
          </w:p>
        </w:tc>
        <w:tc>
          <w:tcPr>
            <w:tcW w:w="1842" w:type="dxa"/>
          </w:tcPr>
          <w:p w14:paraId="54375DDB" w14:textId="1793F212" w:rsidR="00C74CF6" w:rsidRDefault="00C74CF6" w:rsidP="00C74CF6">
            <w:r>
              <w:t xml:space="preserve">West </w:t>
            </w:r>
            <w:proofErr w:type="gramStart"/>
            <w:r>
              <w:t>End  =</w:t>
            </w:r>
            <w:proofErr w:type="gramEnd"/>
            <w:r>
              <w:t xml:space="preserve"> WE</w:t>
            </w:r>
          </w:p>
        </w:tc>
      </w:tr>
      <w:tr w:rsidR="00C74CF6" w14:paraId="339FC1AE" w14:textId="6B188614" w:rsidTr="00C74CF6">
        <w:tc>
          <w:tcPr>
            <w:tcW w:w="1838" w:type="dxa"/>
          </w:tcPr>
          <w:p w14:paraId="645F36C7" w14:textId="77777777" w:rsidR="00C74CF6" w:rsidRPr="00532C43" w:rsidRDefault="00C74CF6" w:rsidP="00C74CF6">
            <w:proofErr w:type="spellStart"/>
            <w:r>
              <w:t>Strathmartine</w:t>
            </w:r>
            <w:proofErr w:type="spellEnd"/>
            <w:r>
              <w:t xml:space="preserve"> = S</w:t>
            </w:r>
          </w:p>
        </w:tc>
        <w:tc>
          <w:tcPr>
            <w:tcW w:w="1701" w:type="dxa"/>
          </w:tcPr>
          <w:p w14:paraId="33C55021" w14:textId="77777777" w:rsidR="00C74CF6" w:rsidRPr="00532C43" w:rsidRDefault="00C74CF6" w:rsidP="00C74CF6">
            <w:proofErr w:type="gramStart"/>
            <w:r>
              <w:t>North East</w:t>
            </w:r>
            <w:proofErr w:type="gramEnd"/>
            <w:r>
              <w:t xml:space="preserve"> = NE</w:t>
            </w:r>
          </w:p>
        </w:tc>
        <w:tc>
          <w:tcPr>
            <w:tcW w:w="1985" w:type="dxa"/>
          </w:tcPr>
          <w:p w14:paraId="5ABDC791" w14:textId="30977973" w:rsidR="00C74CF6" w:rsidRDefault="00C74CF6" w:rsidP="00C74CF6">
            <w:proofErr w:type="spellStart"/>
            <w:r>
              <w:t>Lochee</w:t>
            </w:r>
            <w:proofErr w:type="spellEnd"/>
            <w:r>
              <w:t xml:space="preserve">            = L</w:t>
            </w:r>
          </w:p>
        </w:tc>
        <w:tc>
          <w:tcPr>
            <w:tcW w:w="1842" w:type="dxa"/>
          </w:tcPr>
          <w:p w14:paraId="26DCA035" w14:textId="21BA5E67" w:rsidR="00C74CF6" w:rsidRDefault="00C74CF6" w:rsidP="00C74CF6">
            <w:r>
              <w:t xml:space="preserve">The </w:t>
            </w:r>
            <w:proofErr w:type="gramStart"/>
            <w:r>
              <w:t>Ferry  =</w:t>
            </w:r>
            <w:proofErr w:type="gramEnd"/>
            <w:r>
              <w:t xml:space="preserve"> TF</w:t>
            </w:r>
          </w:p>
        </w:tc>
      </w:tr>
    </w:tbl>
    <w:p w14:paraId="5C42CD36" w14:textId="7BE2BE19" w:rsidR="000044E6" w:rsidRPr="00085203" w:rsidRDefault="00E93A7F" w:rsidP="00532C43">
      <w:pPr>
        <w:rPr>
          <w:sz w:val="17"/>
          <w:szCs w:val="17"/>
        </w:rPr>
      </w:pPr>
      <w:r w:rsidRPr="00085203">
        <w:rPr>
          <w:sz w:val="17"/>
          <w:szCs w:val="17"/>
        </w:rPr>
        <w:t xml:space="preserve">Indicators 1-9 </w:t>
      </w:r>
      <w:r w:rsidR="00E558E2" w:rsidRPr="00085203">
        <w:rPr>
          <w:sz w:val="17"/>
          <w:szCs w:val="17"/>
        </w:rPr>
        <w:t xml:space="preserve">are calculated from results of the National Health and Care Experience Survey. </w:t>
      </w:r>
      <w:proofErr w:type="gramStart"/>
      <w:r w:rsidR="00EE734C" w:rsidRPr="00085203">
        <w:rPr>
          <w:sz w:val="17"/>
          <w:szCs w:val="17"/>
        </w:rPr>
        <w:t>In order to</w:t>
      </w:r>
      <w:proofErr w:type="gramEnd"/>
      <w:r w:rsidR="00EE734C" w:rsidRPr="00085203">
        <w:rPr>
          <w:sz w:val="17"/>
          <w:szCs w:val="17"/>
        </w:rPr>
        <w:t xml:space="preserve"> only report responses of people who receive services from the Health and Social Care Partnerships, responses are filtered.  The way in which these responses were filtered differed in 2017-18 and 2019-20, </w:t>
      </w:r>
      <w:r w:rsidR="00E10A8B" w:rsidRPr="00085203">
        <w:rPr>
          <w:sz w:val="17"/>
          <w:szCs w:val="17"/>
        </w:rPr>
        <w:t xml:space="preserve">for all indicators except indicator 8 (carers) </w:t>
      </w:r>
      <w:r w:rsidR="00EE734C" w:rsidRPr="00085203">
        <w:rPr>
          <w:sz w:val="17"/>
          <w:szCs w:val="17"/>
        </w:rPr>
        <w:t xml:space="preserve">making the data incomparable.  </w:t>
      </w:r>
      <w:r w:rsidRPr="00085203">
        <w:rPr>
          <w:sz w:val="17"/>
          <w:szCs w:val="17"/>
        </w:rPr>
        <w:t xml:space="preserve">Health and Social Care Partnerships are required to monitor performance from the pre integration 2015-16 position to the current position or the previous five years.  It is not possible for this to be done for Indicators 1-7 and 9 because; the survey is biennial </w:t>
      </w:r>
      <w:proofErr w:type="gramStart"/>
      <w:r w:rsidRPr="00085203">
        <w:rPr>
          <w:sz w:val="17"/>
          <w:szCs w:val="17"/>
        </w:rPr>
        <w:t>and also</w:t>
      </w:r>
      <w:proofErr w:type="gramEnd"/>
      <w:r w:rsidRPr="00085203">
        <w:rPr>
          <w:sz w:val="17"/>
          <w:szCs w:val="17"/>
        </w:rPr>
        <w:t xml:space="preserve"> because the methodology for filtering respondents was changed by the Scottish Government prior to the 2019-20 survey.  The Scottish Government has advised that results</w:t>
      </w:r>
      <w:r w:rsidR="00192495">
        <w:rPr>
          <w:sz w:val="17"/>
          <w:szCs w:val="17"/>
        </w:rPr>
        <w:t xml:space="preserve"> should not be compared</w:t>
      </w:r>
      <w:r w:rsidRPr="00085203">
        <w:rPr>
          <w:sz w:val="17"/>
          <w:szCs w:val="17"/>
        </w:rPr>
        <w:t xml:space="preserve"> </w:t>
      </w:r>
      <w:proofErr w:type="gramStart"/>
      <w:r w:rsidRPr="00085203">
        <w:rPr>
          <w:sz w:val="17"/>
          <w:szCs w:val="17"/>
        </w:rPr>
        <w:t>pre 2019-20</w:t>
      </w:r>
      <w:proofErr w:type="gramEnd"/>
      <w:r w:rsidRPr="00085203">
        <w:rPr>
          <w:sz w:val="17"/>
          <w:szCs w:val="17"/>
        </w:rPr>
        <w:t xml:space="preserve">, however, </w:t>
      </w:r>
      <w:r w:rsidR="00192495">
        <w:rPr>
          <w:sz w:val="17"/>
          <w:szCs w:val="17"/>
        </w:rPr>
        <w:t>comparison can now be made for</w:t>
      </w:r>
      <w:r w:rsidRPr="00085203">
        <w:rPr>
          <w:sz w:val="17"/>
          <w:szCs w:val="17"/>
        </w:rPr>
        <w:t xml:space="preserve"> surveys years 2019-20, 2021-22 and 2023-24.</w:t>
      </w:r>
    </w:p>
    <w:p w14:paraId="17F752C6" w14:textId="77777777" w:rsidR="000044E6" w:rsidRPr="00085203" w:rsidRDefault="000044E6" w:rsidP="00532C43">
      <w:pPr>
        <w:rPr>
          <w:sz w:val="16"/>
          <w:szCs w:val="16"/>
        </w:rPr>
      </w:pPr>
    </w:p>
    <w:tbl>
      <w:tblPr>
        <w:tblStyle w:val="TableGrid"/>
        <w:tblW w:w="16444" w:type="dxa"/>
        <w:jc w:val="center"/>
        <w:tblLayout w:type="fixed"/>
        <w:tblLook w:val="04A0" w:firstRow="1" w:lastRow="0" w:firstColumn="1" w:lastColumn="0" w:noHBand="0" w:noVBand="1"/>
      </w:tblPr>
      <w:tblGrid>
        <w:gridCol w:w="1980"/>
        <w:gridCol w:w="2693"/>
        <w:gridCol w:w="3686"/>
        <w:gridCol w:w="4541"/>
        <w:gridCol w:w="1276"/>
        <w:gridCol w:w="1134"/>
        <w:gridCol w:w="1134"/>
      </w:tblGrid>
      <w:tr w:rsidR="00773C6D" w:rsidRPr="00727A3D" w14:paraId="3A0F4956" w14:textId="77777777" w:rsidTr="00085203">
        <w:trPr>
          <w:jc w:val="center"/>
        </w:trPr>
        <w:tc>
          <w:tcPr>
            <w:tcW w:w="1980" w:type="dxa"/>
            <w:shd w:val="clear" w:color="auto" w:fill="BFBFBF" w:themeFill="background1" w:themeFillShade="BF"/>
          </w:tcPr>
          <w:p w14:paraId="291D9D63" w14:textId="77777777" w:rsidR="00773C6D" w:rsidRPr="00727A3D" w:rsidRDefault="00773C6D" w:rsidP="001A0E69">
            <w:pPr>
              <w:jc w:val="center"/>
              <w:rPr>
                <w:b/>
              </w:rPr>
            </w:pPr>
            <w:r w:rsidRPr="00727A3D">
              <w:rPr>
                <w:b/>
              </w:rPr>
              <w:t>National Indicator</w:t>
            </w:r>
          </w:p>
        </w:tc>
        <w:tc>
          <w:tcPr>
            <w:tcW w:w="2693" w:type="dxa"/>
            <w:tcBorders>
              <w:bottom w:val="single" w:sz="4" w:space="0" w:color="auto"/>
            </w:tcBorders>
            <w:shd w:val="clear" w:color="auto" w:fill="BFBFBF" w:themeFill="background1" w:themeFillShade="BF"/>
          </w:tcPr>
          <w:p w14:paraId="702BA937" w14:textId="2A7F70D8" w:rsidR="00773C6D" w:rsidRPr="00727A3D" w:rsidRDefault="00773C6D" w:rsidP="001A0E69">
            <w:pPr>
              <w:jc w:val="center"/>
              <w:rPr>
                <w:b/>
              </w:rPr>
            </w:pPr>
            <w:r w:rsidRPr="00727A3D">
              <w:rPr>
                <w:b/>
              </w:rPr>
              <w:t>Difference From 1</w:t>
            </w:r>
            <w:r w:rsidR="00723311">
              <w:rPr>
                <w:b/>
              </w:rPr>
              <w:t>8-19</w:t>
            </w:r>
            <w:r w:rsidRPr="00727A3D">
              <w:rPr>
                <w:b/>
              </w:rPr>
              <w:t xml:space="preserve"> Baseline</w:t>
            </w:r>
          </w:p>
        </w:tc>
        <w:tc>
          <w:tcPr>
            <w:tcW w:w="3686" w:type="dxa"/>
            <w:tcBorders>
              <w:bottom w:val="single" w:sz="4" w:space="0" w:color="auto"/>
            </w:tcBorders>
            <w:shd w:val="clear" w:color="auto" w:fill="BFBFBF" w:themeFill="background1" w:themeFillShade="BF"/>
          </w:tcPr>
          <w:p w14:paraId="5607A368" w14:textId="77777777" w:rsidR="00773C6D" w:rsidRPr="00727A3D" w:rsidRDefault="00773C6D" w:rsidP="001A0E69">
            <w:pPr>
              <w:jc w:val="center"/>
              <w:rPr>
                <w:b/>
              </w:rPr>
            </w:pPr>
            <w:r>
              <w:rPr>
                <w:b/>
              </w:rPr>
              <w:t xml:space="preserve">Dundee </w:t>
            </w:r>
            <w:r w:rsidRPr="00727A3D">
              <w:rPr>
                <w:b/>
              </w:rPr>
              <w:t>Short Term Trend (last 4 quarters)</w:t>
            </w:r>
          </w:p>
        </w:tc>
        <w:tc>
          <w:tcPr>
            <w:tcW w:w="4541" w:type="dxa"/>
            <w:tcBorders>
              <w:bottom w:val="single" w:sz="4" w:space="0" w:color="auto"/>
            </w:tcBorders>
            <w:shd w:val="clear" w:color="auto" w:fill="BFBFBF" w:themeFill="background1" w:themeFillShade="BF"/>
          </w:tcPr>
          <w:p w14:paraId="7E14B381" w14:textId="77777777" w:rsidR="00773C6D" w:rsidRPr="00727A3D" w:rsidRDefault="00773C6D" w:rsidP="001A0E69">
            <w:pPr>
              <w:jc w:val="center"/>
              <w:rPr>
                <w:b/>
              </w:rPr>
            </w:pPr>
            <w:r w:rsidRPr="00727A3D">
              <w:rPr>
                <w:b/>
              </w:rPr>
              <w:t>Long Term Trend</w:t>
            </w:r>
          </w:p>
        </w:tc>
        <w:tc>
          <w:tcPr>
            <w:tcW w:w="1276" w:type="dxa"/>
            <w:shd w:val="clear" w:color="auto" w:fill="BFBFBF" w:themeFill="background1" w:themeFillShade="BF"/>
          </w:tcPr>
          <w:p w14:paraId="7B375D30" w14:textId="77777777" w:rsidR="00773C6D" w:rsidRDefault="00773C6D" w:rsidP="00C74CF6">
            <w:pPr>
              <w:jc w:val="center"/>
              <w:rPr>
                <w:b/>
              </w:rPr>
            </w:pPr>
            <w:r>
              <w:rPr>
                <w:b/>
              </w:rPr>
              <w:t>Scotland Position</w:t>
            </w:r>
          </w:p>
          <w:p w14:paraId="15FEE80F" w14:textId="66AFD200" w:rsidR="00773C6D" w:rsidRPr="00727A3D" w:rsidRDefault="00773C6D" w:rsidP="00C74CF6">
            <w:pPr>
              <w:jc w:val="center"/>
              <w:rPr>
                <w:b/>
              </w:rPr>
            </w:pPr>
            <w:r>
              <w:rPr>
                <w:b/>
              </w:rPr>
              <w:t>1= best, 3</w:t>
            </w:r>
            <w:r w:rsidR="00BD20EC">
              <w:rPr>
                <w:b/>
              </w:rPr>
              <w:t>1</w:t>
            </w:r>
            <w:r>
              <w:rPr>
                <w:b/>
              </w:rPr>
              <w:t xml:space="preserve"> = worst</w:t>
            </w:r>
          </w:p>
        </w:tc>
        <w:tc>
          <w:tcPr>
            <w:tcW w:w="1134" w:type="dxa"/>
            <w:shd w:val="clear" w:color="auto" w:fill="BFBFBF" w:themeFill="background1" w:themeFillShade="BF"/>
          </w:tcPr>
          <w:p w14:paraId="6F195765" w14:textId="77777777" w:rsidR="00773C6D" w:rsidRDefault="00773C6D" w:rsidP="001A0E69">
            <w:pPr>
              <w:jc w:val="center"/>
              <w:rPr>
                <w:b/>
              </w:rPr>
            </w:pPr>
            <w:r w:rsidRPr="00727A3D">
              <w:rPr>
                <w:b/>
              </w:rPr>
              <w:t>Family Group Position</w:t>
            </w:r>
          </w:p>
          <w:p w14:paraId="3A3AB6A0" w14:textId="77777777" w:rsidR="00773C6D" w:rsidRPr="00727A3D" w:rsidRDefault="00773C6D" w:rsidP="001A0E69">
            <w:pPr>
              <w:jc w:val="center"/>
              <w:rPr>
                <w:b/>
              </w:rPr>
            </w:pPr>
            <w:r>
              <w:rPr>
                <w:b/>
              </w:rPr>
              <w:t>1= best, 8 = worst</w:t>
            </w:r>
          </w:p>
        </w:tc>
        <w:tc>
          <w:tcPr>
            <w:tcW w:w="1134" w:type="dxa"/>
            <w:shd w:val="clear" w:color="auto" w:fill="BFBFBF" w:themeFill="background1" w:themeFillShade="BF"/>
          </w:tcPr>
          <w:p w14:paraId="797CF88E" w14:textId="77777777" w:rsidR="00773C6D" w:rsidRDefault="00773C6D" w:rsidP="001A0E69">
            <w:pPr>
              <w:jc w:val="center"/>
              <w:rPr>
                <w:b/>
              </w:rPr>
            </w:pPr>
            <w:r w:rsidRPr="00727A3D">
              <w:rPr>
                <w:b/>
              </w:rPr>
              <w:t>Tayside Group Position</w:t>
            </w:r>
          </w:p>
          <w:p w14:paraId="4A585705" w14:textId="77777777" w:rsidR="00773C6D" w:rsidRPr="00727A3D" w:rsidRDefault="00773C6D" w:rsidP="001A0E69">
            <w:pPr>
              <w:jc w:val="center"/>
              <w:rPr>
                <w:b/>
              </w:rPr>
            </w:pPr>
            <w:r>
              <w:rPr>
                <w:b/>
              </w:rPr>
              <w:t>1= best, 3 = worst</w:t>
            </w:r>
          </w:p>
        </w:tc>
      </w:tr>
      <w:tr w:rsidR="00773C6D" w14:paraId="67450F14" w14:textId="77777777" w:rsidTr="00085203">
        <w:trPr>
          <w:jc w:val="center"/>
        </w:trPr>
        <w:tc>
          <w:tcPr>
            <w:tcW w:w="1980" w:type="dxa"/>
          </w:tcPr>
          <w:p w14:paraId="777D3F02" w14:textId="7D6298DB" w:rsidR="00773C6D" w:rsidRPr="00E77AFA" w:rsidRDefault="00773C6D" w:rsidP="00E543A4">
            <w:pPr>
              <w:tabs>
                <w:tab w:val="center" w:pos="4153"/>
                <w:tab w:val="right" w:pos="8306"/>
              </w:tabs>
              <w:rPr>
                <w:b/>
              </w:rPr>
            </w:pPr>
            <w:r>
              <w:rPr>
                <w:rFonts w:cs="Arial"/>
                <w:b/>
                <w:sz w:val="16"/>
                <w:szCs w:val="16"/>
              </w:rPr>
              <w:t>1.%</w:t>
            </w:r>
            <w:r w:rsidRPr="00B94809">
              <w:rPr>
                <w:rFonts w:cs="Arial"/>
                <w:b/>
                <w:sz w:val="16"/>
                <w:szCs w:val="16"/>
              </w:rPr>
              <w:t xml:space="preserve"> of </w:t>
            </w:r>
            <w:proofErr w:type="gramStart"/>
            <w:r w:rsidRPr="00B94809">
              <w:rPr>
                <w:rFonts w:cs="Arial"/>
                <w:b/>
                <w:sz w:val="16"/>
                <w:szCs w:val="16"/>
              </w:rPr>
              <w:t>adults</w:t>
            </w:r>
            <w:proofErr w:type="gramEnd"/>
            <w:r w:rsidRPr="00B94809">
              <w:rPr>
                <w:rFonts w:cs="Arial"/>
                <w:b/>
                <w:sz w:val="16"/>
                <w:szCs w:val="16"/>
              </w:rPr>
              <w:t xml:space="preserve"> able to look after their health very well or quite well</w:t>
            </w:r>
            <w:r w:rsidR="000044E6">
              <w:rPr>
                <w:rFonts w:cs="Arial"/>
                <w:b/>
                <w:sz w:val="16"/>
                <w:szCs w:val="16"/>
              </w:rPr>
              <w:t>*</w:t>
            </w:r>
          </w:p>
        </w:tc>
        <w:tc>
          <w:tcPr>
            <w:tcW w:w="2693" w:type="dxa"/>
            <w:shd w:val="clear" w:color="auto" w:fill="D9D9D9" w:themeFill="background1" w:themeFillShade="D9"/>
          </w:tcPr>
          <w:p w14:paraId="1AE7169B" w14:textId="77777777" w:rsidR="00773C6D" w:rsidRDefault="00773C6D" w:rsidP="00E543A4">
            <w:pPr>
              <w:rPr>
                <w:noProof/>
              </w:rPr>
            </w:pPr>
          </w:p>
        </w:tc>
        <w:tc>
          <w:tcPr>
            <w:tcW w:w="3686" w:type="dxa"/>
            <w:shd w:val="clear" w:color="auto" w:fill="D9D9D9" w:themeFill="background1" w:themeFillShade="D9"/>
          </w:tcPr>
          <w:p w14:paraId="2E5AFAEC" w14:textId="77777777" w:rsidR="00773C6D" w:rsidRDefault="00773C6D" w:rsidP="00E543A4">
            <w:pPr>
              <w:rPr>
                <w:noProof/>
              </w:rPr>
            </w:pPr>
          </w:p>
        </w:tc>
        <w:tc>
          <w:tcPr>
            <w:tcW w:w="4541" w:type="dxa"/>
            <w:shd w:val="clear" w:color="auto" w:fill="D9D9D9" w:themeFill="background1" w:themeFillShade="D9"/>
          </w:tcPr>
          <w:p w14:paraId="7358F591" w14:textId="77777777" w:rsidR="00773C6D" w:rsidRDefault="00773C6D" w:rsidP="00E543A4">
            <w:pPr>
              <w:rPr>
                <w:noProof/>
              </w:rPr>
            </w:pPr>
          </w:p>
        </w:tc>
        <w:tc>
          <w:tcPr>
            <w:tcW w:w="1276" w:type="dxa"/>
            <w:vAlign w:val="center"/>
          </w:tcPr>
          <w:p w14:paraId="62C61E14" w14:textId="5E4F2292" w:rsidR="00773C6D" w:rsidRPr="00A36F24" w:rsidRDefault="00ED2E9F" w:rsidP="00C74CF6">
            <w:pPr>
              <w:tabs>
                <w:tab w:val="left" w:pos="825"/>
              </w:tabs>
              <w:jc w:val="center"/>
            </w:pPr>
            <w:r>
              <w:t>29</w:t>
            </w:r>
            <w:r w:rsidR="009C7C26">
              <w:t>th</w:t>
            </w:r>
          </w:p>
        </w:tc>
        <w:tc>
          <w:tcPr>
            <w:tcW w:w="1134" w:type="dxa"/>
            <w:vAlign w:val="center"/>
          </w:tcPr>
          <w:p w14:paraId="0DD04507" w14:textId="77777777" w:rsidR="00FA2BC2" w:rsidRDefault="004561A2" w:rsidP="0079396D">
            <w:pPr>
              <w:jc w:val="center"/>
            </w:pPr>
            <w:r w:rsidRPr="00DB5D79">
              <w:t>5th</w:t>
            </w:r>
            <w:r w:rsidR="00773C6D">
              <w:t xml:space="preserve"> </w:t>
            </w:r>
          </w:p>
          <w:p w14:paraId="230B2790" w14:textId="78E727B7" w:rsidR="00773C6D" w:rsidRDefault="00773C6D" w:rsidP="0079396D">
            <w:pPr>
              <w:jc w:val="center"/>
            </w:pPr>
            <w:r>
              <w:t>(</w:t>
            </w:r>
            <w:r w:rsidR="004561A2">
              <w:t>8</w:t>
            </w:r>
            <w:r w:rsidR="00D3576B">
              <w:t>8</w:t>
            </w:r>
            <w:r>
              <w:t>%)</w:t>
            </w:r>
          </w:p>
        </w:tc>
        <w:tc>
          <w:tcPr>
            <w:tcW w:w="1134" w:type="dxa"/>
            <w:vAlign w:val="center"/>
          </w:tcPr>
          <w:p w14:paraId="7DF97D33" w14:textId="6895EB0D" w:rsidR="00773C6D" w:rsidRDefault="009C7C26" w:rsidP="0079396D">
            <w:pPr>
              <w:jc w:val="center"/>
            </w:pPr>
            <w:r>
              <w:t>3rd</w:t>
            </w:r>
          </w:p>
        </w:tc>
      </w:tr>
      <w:tr w:rsidR="00773C6D" w14:paraId="10A90464" w14:textId="77777777" w:rsidTr="00085203">
        <w:trPr>
          <w:jc w:val="center"/>
        </w:trPr>
        <w:tc>
          <w:tcPr>
            <w:tcW w:w="1980" w:type="dxa"/>
          </w:tcPr>
          <w:p w14:paraId="5F604E5A" w14:textId="4A8EF335" w:rsidR="00773C6D" w:rsidRPr="00E77AFA" w:rsidRDefault="00773C6D" w:rsidP="00E543A4">
            <w:pPr>
              <w:tabs>
                <w:tab w:val="center" w:pos="4153"/>
                <w:tab w:val="right" w:pos="8306"/>
              </w:tabs>
              <w:rPr>
                <w:b/>
              </w:rPr>
            </w:pPr>
            <w:r w:rsidRPr="00B94809">
              <w:rPr>
                <w:rFonts w:cs="Arial"/>
                <w:b/>
                <w:sz w:val="16"/>
                <w:szCs w:val="16"/>
              </w:rPr>
              <w:t>2.</w:t>
            </w:r>
            <w:r>
              <w:rPr>
                <w:rFonts w:cs="Arial"/>
                <w:b/>
                <w:sz w:val="16"/>
                <w:szCs w:val="16"/>
              </w:rPr>
              <w:t>%</w:t>
            </w:r>
            <w:r w:rsidRPr="00B94809">
              <w:rPr>
                <w:rFonts w:cs="Arial"/>
                <w:b/>
                <w:sz w:val="16"/>
                <w:szCs w:val="16"/>
              </w:rPr>
              <w:t xml:space="preserve"> of adults supported at home who agreed that they are supported to live as independently as possible</w:t>
            </w:r>
            <w:r w:rsidR="000044E6">
              <w:rPr>
                <w:rFonts w:cs="Arial"/>
                <w:b/>
                <w:sz w:val="16"/>
                <w:szCs w:val="16"/>
              </w:rPr>
              <w:t>*</w:t>
            </w:r>
          </w:p>
        </w:tc>
        <w:tc>
          <w:tcPr>
            <w:tcW w:w="2693" w:type="dxa"/>
            <w:shd w:val="clear" w:color="auto" w:fill="D9D9D9" w:themeFill="background1" w:themeFillShade="D9"/>
          </w:tcPr>
          <w:p w14:paraId="0CAAB59B" w14:textId="77777777" w:rsidR="00773C6D" w:rsidRDefault="00773C6D" w:rsidP="00E543A4">
            <w:pPr>
              <w:rPr>
                <w:noProof/>
              </w:rPr>
            </w:pPr>
          </w:p>
        </w:tc>
        <w:tc>
          <w:tcPr>
            <w:tcW w:w="3686" w:type="dxa"/>
            <w:shd w:val="clear" w:color="auto" w:fill="D9D9D9" w:themeFill="background1" w:themeFillShade="D9"/>
          </w:tcPr>
          <w:p w14:paraId="0C05A5CC" w14:textId="77777777" w:rsidR="00773C6D" w:rsidRDefault="00773C6D" w:rsidP="00E543A4">
            <w:pPr>
              <w:rPr>
                <w:noProof/>
              </w:rPr>
            </w:pPr>
          </w:p>
        </w:tc>
        <w:tc>
          <w:tcPr>
            <w:tcW w:w="4541" w:type="dxa"/>
            <w:shd w:val="clear" w:color="auto" w:fill="D9D9D9" w:themeFill="background1" w:themeFillShade="D9"/>
          </w:tcPr>
          <w:p w14:paraId="4FB63636" w14:textId="77777777" w:rsidR="00773C6D" w:rsidRDefault="00773C6D" w:rsidP="00E543A4">
            <w:pPr>
              <w:rPr>
                <w:noProof/>
              </w:rPr>
            </w:pPr>
          </w:p>
        </w:tc>
        <w:tc>
          <w:tcPr>
            <w:tcW w:w="1276" w:type="dxa"/>
            <w:vAlign w:val="center"/>
          </w:tcPr>
          <w:p w14:paraId="1C4A8AD0" w14:textId="7892106A" w:rsidR="00773C6D" w:rsidRDefault="002940A4" w:rsidP="00C74CF6">
            <w:pPr>
              <w:jc w:val="center"/>
            </w:pPr>
            <w:r>
              <w:t>10</w:t>
            </w:r>
            <w:r w:rsidR="009C7C26">
              <w:t>th</w:t>
            </w:r>
          </w:p>
        </w:tc>
        <w:tc>
          <w:tcPr>
            <w:tcW w:w="1134" w:type="dxa"/>
            <w:vAlign w:val="center"/>
          </w:tcPr>
          <w:p w14:paraId="6C43F54D" w14:textId="4F51B9C4" w:rsidR="00FA2BC2" w:rsidRDefault="004F716F" w:rsidP="0079396D">
            <w:pPr>
              <w:jc w:val="center"/>
            </w:pPr>
            <w:r>
              <w:t>3rd</w:t>
            </w:r>
          </w:p>
          <w:p w14:paraId="72BC1531" w14:textId="042992C4" w:rsidR="00773C6D" w:rsidRDefault="00773C6D" w:rsidP="0079396D">
            <w:pPr>
              <w:jc w:val="center"/>
            </w:pPr>
            <w:r>
              <w:t>(</w:t>
            </w:r>
            <w:r w:rsidR="004F716F">
              <w:t>77</w:t>
            </w:r>
            <w:r>
              <w:t>%)</w:t>
            </w:r>
          </w:p>
        </w:tc>
        <w:tc>
          <w:tcPr>
            <w:tcW w:w="1134" w:type="dxa"/>
            <w:vAlign w:val="center"/>
          </w:tcPr>
          <w:p w14:paraId="3485EB84" w14:textId="534B3687" w:rsidR="00773C6D" w:rsidRDefault="009C7C26" w:rsidP="0079396D">
            <w:pPr>
              <w:jc w:val="center"/>
            </w:pPr>
            <w:r>
              <w:t>1st</w:t>
            </w:r>
          </w:p>
        </w:tc>
      </w:tr>
      <w:tr w:rsidR="00773C6D" w14:paraId="5F905C7B" w14:textId="77777777" w:rsidTr="00085203">
        <w:trPr>
          <w:jc w:val="center"/>
        </w:trPr>
        <w:tc>
          <w:tcPr>
            <w:tcW w:w="1980" w:type="dxa"/>
          </w:tcPr>
          <w:p w14:paraId="3F1A3736" w14:textId="69151696" w:rsidR="00773C6D" w:rsidRPr="00E77AFA" w:rsidRDefault="00773C6D" w:rsidP="00532C43">
            <w:pPr>
              <w:tabs>
                <w:tab w:val="center" w:pos="4153"/>
                <w:tab w:val="right" w:pos="8306"/>
              </w:tabs>
              <w:rPr>
                <w:b/>
              </w:rPr>
            </w:pPr>
            <w:r w:rsidRPr="00B94809">
              <w:rPr>
                <w:rFonts w:cs="Arial"/>
                <w:b/>
                <w:sz w:val="16"/>
                <w:szCs w:val="16"/>
              </w:rPr>
              <w:t>3.</w:t>
            </w:r>
            <w:r>
              <w:rPr>
                <w:rFonts w:cs="Arial"/>
                <w:b/>
                <w:sz w:val="16"/>
                <w:szCs w:val="16"/>
              </w:rPr>
              <w:t>%</w:t>
            </w:r>
            <w:r w:rsidRPr="00B94809">
              <w:rPr>
                <w:rFonts w:cs="Arial"/>
                <w:b/>
                <w:sz w:val="16"/>
                <w:szCs w:val="16"/>
              </w:rPr>
              <w:t xml:space="preserve"> of adults supported at home who agreed that they had a say in how their help, care, or support was provided</w:t>
            </w:r>
            <w:r w:rsidR="000044E6">
              <w:rPr>
                <w:rFonts w:cs="Arial"/>
                <w:b/>
                <w:sz w:val="16"/>
                <w:szCs w:val="16"/>
              </w:rPr>
              <w:t>*</w:t>
            </w:r>
          </w:p>
        </w:tc>
        <w:tc>
          <w:tcPr>
            <w:tcW w:w="2693" w:type="dxa"/>
            <w:shd w:val="clear" w:color="auto" w:fill="D9D9D9" w:themeFill="background1" w:themeFillShade="D9"/>
          </w:tcPr>
          <w:p w14:paraId="6BC4E603" w14:textId="77777777" w:rsidR="00773C6D" w:rsidRDefault="00773C6D" w:rsidP="00E543A4">
            <w:pPr>
              <w:rPr>
                <w:noProof/>
              </w:rPr>
            </w:pPr>
          </w:p>
        </w:tc>
        <w:tc>
          <w:tcPr>
            <w:tcW w:w="3686" w:type="dxa"/>
            <w:shd w:val="clear" w:color="auto" w:fill="D9D9D9" w:themeFill="background1" w:themeFillShade="D9"/>
          </w:tcPr>
          <w:p w14:paraId="7BB8E14B" w14:textId="77777777" w:rsidR="00773C6D" w:rsidRDefault="00773C6D" w:rsidP="00E543A4">
            <w:pPr>
              <w:rPr>
                <w:noProof/>
              </w:rPr>
            </w:pPr>
          </w:p>
        </w:tc>
        <w:tc>
          <w:tcPr>
            <w:tcW w:w="4541" w:type="dxa"/>
            <w:shd w:val="clear" w:color="auto" w:fill="D9D9D9" w:themeFill="background1" w:themeFillShade="D9"/>
          </w:tcPr>
          <w:p w14:paraId="7EA80323" w14:textId="77777777" w:rsidR="00773C6D" w:rsidRDefault="00773C6D" w:rsidP="00E543A4">
            <w:pPr>
              <w:rPr>
                <w:noProof/>
              </w:rPr>
            </w:pPr>
          </w:p>
        </w:tc>
        <w:tc>
          <w:tcPr>
            <w:tcW w:w="1276" w:type="dxa"/>
            <w:vAlign w:val="center"/>
          </w:tcPr>
          <w:p w14:paraId="0E8D5087" w14:textId="4A34908C" w:rsidR="00773C6D" w:rsidRDefault="00145AA2" w:rsidP="00C74CF6">
            <w:pPr>
              <w:jc w:val="center"/>
            </w:pPr>
            <w:r>
              <w:t>10</w:t>
            </w:r>
            <w:r w:rsidR="009C7C26">
              <w:t>th</w:t>
            </w:r>
          </w:p>
        </w:tc>
        <w:tc>
          <w:tcPr>
            <w:tcW w:w="1134" w:type="dxa"/>
            <w:vAlign w:val="center"/>
          </w:tcPr>
          <w:p w14:paraId="34F0B18D" w14:textId="77777777" w:rsidR="00085203" w:rsidRDefault="00365E2A" w:rsidP="0079396D">
            <w:pPr>
              <w:jc w:val="center"/>
            </w:pPr>
            <w:r>
              <w:t>4</w:t>
            </w:r>
            <w:r w:rsidRPr="00365E2A">
              <w:rPr>
                <w:vertAlign w:val="superscript"/>
              </w:rPr>
              <w:t>th</w:t>
            </w:r>
            <w:r w:rsidR="00773C6D">
              <w:t xml:space="preserve"> </w:t>
            </w:r>
          </w:p>
          <w:p w14:paraId="5E56F36E" w14:textId="7D86BC3F" w:rsidR="00773C6D" w:rsidRDefault="00773C6D" w:rsidP="0079396D">
            <w:pPr>
              <w:jc w:val="center"/>
            </w:pPr>
            <w:r>
              <w:t>(</w:t>
            </w:r>
            <w:r w:rsidR="00A25DDA">
              <w:t>6</w:t>
            </w:r>
            <w:r w:rsidR="004561A2">
              <w:t>5</w:t>
            </w:r>
            <w:r>
              <w:t>%)</w:t>
            </w:r>
          </w:p>
        </w:tc>
        <w:tc>
          <w:tcPr>
            <w:tcW w:w="1134" w:type="dxa"/>
            <w:vAlign w:val="center"/>
          </w:tcPr>
          <w:p w14:paraId="48C59921" w14:textId="0FFC58B3" w:rsidR="00773C6D" w:rsidRDefault="009C7C26" w:rsidP="0079396D">
            <w:pPr>
              <w:jc w:val="center"/>
            </w:pPr>
            <w:r>
              <w:t>2nd</w:t>
            </w:r>
          </w:p>
        </w:tc>
      </w:tr>
      <w:tr w:rsidR="00C74CF6" w14:paraId="6777711D" w14:textId="77777777" w:rsidTr="00085203">
        <w:trPr>
          <w:jc w:val="center"/>
        </w:trPr>
        <w:tc>
          <w:tcPr>
            <w:tcW w:w="1980" w:type="dxa"/>
          </w:tcPr>
          <w:p w14:paraId="51B3A077" w14:textId="69106CA1" w:rsidR="00C74CF6" w:rsidRPr="00B94809" w:rsidRDefault="00C74CF6" w:rsidP="00532C43">
            <w:pPr>
              <w:tabs>
                <w:tab w:val="center" w:pos="4153"/>
                <w:tab w:val="right" w:pos="8306"/>
              </w:tabs>
              <w:rPr>
                <w:rFonts w:cs="Arial"/>
                <w:b/>
                <w:sz w:val="16"/>
                <w:szCs w:val="16"/>
              </w:rPr>
            </w:pPr>
            <w:r>
              <w:rPr>
                <w:rFonts w:cs="Arial"/>
                <w:b/>
                <w:sz w:val="16"/>
                <w:szCs w:val="16"/>
              </w:rPr>
              <w:t>4. % of adults supported at home who agree that their health and social care services seem to be well co-ordinated</w:t>
            </w:r>
            <w:r w:rsidR="000044E6">
              <w:rPr>
                <w:rFonts w:cs="Arial"/>
                <w:b/>
                <w:sz w:val="16"/>
                <w:szCs w:val="16"/>
              </w:rPr>
              <w:t>*</w:t>
            </w:r>
          </w:p>
        </w:tc>
        <w:tc>
          <w:tcPr>
            <w:tcW w:w="2693" w:type="dxa"/>
            <w:shd w:val="clear" w:color="auto" w:fill="D9D9D9" w:themeFill="background1" w:themeFillShade="D9"/>
          </w:tcPr>
          <w:p w14:paraId="731FD5A9" w14:textId="77777777" w:rsidR="00C74CF6" w:rsidRDefault="00C74CF6" w:rsidP="00E543A4">
            <w:pPr>
              <w:rPr>
                <w:noProof/>
              </w:rPr>
            </w:pPr>
          </w:p>
        </w:tc>
        <w:tc>
          <w:tcPr>
            <w:tcW w:w="3686" w:type="dxa"/>
            <w:shd w:val="clear" w:color="auto" w:fill="D9D9D9" w:themeFill="background1" w:themeFillShade="D9"/>
          </w:tcPr>
          <w:p w14:paraId="2754ABD5" w14:textId="77777777" w:rsidR="00C74CF6" w:rsidRDefault="00C74CF6" w:rsidP="00E543A4">
            <w:pPr>
              <w:rPr>
                <w:noProof/>
              </w:rPr>
            </w:pPr>
          </w:p>
        </w:tc>
        <w:tc>
          <w:tcPr>
            <w:tcW w:w="4541" w:type="dxa"/>
            <w:shd w:val="clear" w:color="auto" w:fill="D9D9D9" w:themeFill="background1" w:themeFillShade="D9"/>
          </w:tcPr>
          <w:p w14:paraId="7650D288" w14:textId="77777777" w:rsidR="00C74CF6" w:rsidRDefault="00C74CF6" w:rsidP="00E543A4">
            <w:pPr>
              <w:rPr>
                <w:noProof/>
              </w:rPr>
            </w:pPr>
          </w:p>
        </w:tc>
        <w:tc>
          <w:tcPr>
            <w:tcW w:w="1276" w:type="dxa"/>
            <w:vAlign w:val="center"/>
          </w:tcPr>
          <w:p w14:paraId="15A9A88A" w14:textId="50065F63" w:rsidR="00C74CF6" w:rsidRDefault="003966D5" w:rsidP="00C74CF6">
            <w:pPr>
              <w:jc w:val="center"/>
            </w:pPr>
            <w:r>
              <w:t>13th</w:t>
            </w:r>
          </w:p>
        </w:tc>
        <w:tc>
          <w:tcPr>
            <w:tcW w:w="1134" w:type="dxa"/>
            <w:vAlign w:val="center"/>
          </w:tcPr>
          <w:p w14:paraId="53432BA4" w14:textId="77777777" w:rsidR="00085203" w:rsidRDefault="00A0745B" w:rsidP="0079396D">
            <w:pPr>
              <w:jc w:val="center"/>
            </w:pPr>
            <w:r>
              <w:t>4th</w:t>
            </w:r>
            <w:r w:rsidR="00C74CF6">
              <w:t xml:space="preserve"> </w:t>
            </w:r>
          </w:p>
          <w:p w14:paraId="28B376CC" w14:textId="10D84106" w:rsidR="00C74CF6" w:rsidRDefault="00C74CF6" w:rsidP="0079396D">
            <w:pPr>
              <w:jc w:val="center"/>
            </w:pPr>
            <w:r>
              <w:t>(</w:t>
            </w:r>
            <w:r w:rsidR="00A0745B">
              <w:t>64</w:t>
            </w:r>
            <w:r>
              <w:t>%)</w:t>
            </w:r>
          </w:p>
        </w:tc>
        <w:tc>
          <w:tcPr>
            <w:tcW w:w="1134" w:type="dxa"/>
            <w:vAlign w:val="center"/>
          </w:tcPr>
          <w:p w14:paraId="07E14096" w14:textId="1CFE4A81" w:rsidR="00C74CF6" w:rsidRDefault="004F7478" w:rsidP="0079396D">
            <w:pPr>
              <w:jc w:val="center"/>
            </w:pPr>
            <w:r>
              <w:t>1st</w:t>
            </w:r>
          </w:p>
        </w:tc>
      </w:tr>
      <w:tr w:rsidR="00773C6D" w14:paraId="2D7EC9AF" w14:textId="77777777" w:rsidTr="00085203">
        <w:trPr>
          <w:jc w:val="center"/>
        </w:trPr>
        <w:tc>
          <w:tcPr>
            <w:tcW w:w="1980" w:type="dxa"/>
          </w:tcPr>
          <w:p w14:paraId="4038BE30" w14:textId="36244B29" w:rsidR="00773C6D" w:rsidRPr="00E77AFA" w:rsidRDefault="00773C6D" w:rsidP="00B544A3">
            <w:pPr>
              <w:tabs>
                <w:tab w:val="center" w:pos="4153"/>
                <w:tab w:val="right" w:pos="8306"/>
              </w:tabs>
              <w:rPr>
                <w:b/>
              </w:rPr>
            </w:pPr>
            <w:r w:rsidRPr="00B94809">
              <w:rPr>
                <w:rFonts w:cs="Arial"/>
                <w:b/>
                <w:sz w:val="16"/>
                <w:szCs w:val="16"/>
              </w:rPr>
              <w:t>5.</w:t>
            </w:r>
            <w:r>
              <w:rPr>
                <w:rFonts w:cs="Arial"/>
                <w:b/>
                <w:sz w:val="16"/>
                <w:szCs w:val="16"/>
              </w:rPr>
              <w:t>%</w:t>
            </w:r>
            <w:r w:rsidRPr="00B94809">
              <w:rPr>
                <w:rFonts w:cs="Arial"/>
                <w:b/>
                <w:sz w:val="16"/>
                <w:szCs w:val="16"/>
              </w:rPr>
              <w:t xml:space="preserve"> of adults receiving any care or support who rate it as excellent or good</w:t>
            </w:r>
            <w:r w:rsidR="000044E6">
              <w:rPr>
                <w:rFonts w:cs="Arial"/>
                <w:b/>
                <w:sz w:val="16"/>
                <w:szCs w:val="16"/>
              </w:rPr>
              <w:t>*</w:t>
            </w:r>
          </w:p>
        </w:tc>
        <w:tc>
          <w:tcPr>
            <w:tcW w:w="2693" w:type="dxa"/>
            <w:shd w:val="clear" w:color="auto" w:fill="D9D9D9" w:themeFill="background1" w:themeFillShade="D9"/>
          </w:tcPr>
          <w:p w14:paraId="5BE519AB" w14:textId="77777777" w:rsidR="00773C6D" w:rsidRDefault="00773C6D" w:rsidP="00B544A3">
            <w:pPr>
              <w:rPr>
                <w:noProof/>
              </w:rPr>
            </w:pPr>
          </w:p>
        </w:tc>
        <w:tc>
          <w:tcPr>
            <w:tcW w:w="3686" w:type="dxa"/>
            <w:shd w:val="clear" w:color="auto" w:fill="D9D9D9" w:themeFill="background1" w:themeFillShade="D9"/>
          </w:tcPr>
          <w:p w14:paraId="7F1693FA" w14:textId="77777777" w:rsidR="00773C6D" w:rsidRDefault="00773C6D" w:rsidP="00B544A3">
            <w:pPr>
              <w:rPr>
                <w:noProof/>
              </w:rPr>
            </w:pPr>
          </w:p>
        </w:tc>
        <w:tc>
          <w:tcPr>
            <w:tcW w:w="4541" w:type="dxa"/>
            <w:shd w:val="clear" w:color="auto" w:fill="D9D9D9" w:themeFill="background1" w:themeFillShade="D9"/>
          </w:tcPr>
          <w:p w14:paraId="2037DC60" w14:textId="77777777" w:rsidR="00773C6D" w:rsidRDefault="00773C6D" w:rsidP="00B544A3">
            <w:pPr>
              <w:rPr>
                <w:noProof/>
              </w:rPr>
            </w:pPr>
          </w:p>
        </w:tc>
        <w:tc>
          <w:tcPr>
            <w:tcW w:w="1276" w:type="dxa"/>
            <w:vAlign w:val="center"/>
          </w:tcPr>
          <w:p w14:paraId="1A0E20C6" w14:textId="7E3B6A56" w:rsidR="00773C6D" w:rsidRDefault="009C7C26" w:rsidP="00C74CF6">
            <w:pPr>
              <w:jc w:val="center"/>
            </w:pPr>
            <w:r>
              <w:t>2</w:t>
            </w:r>
            <w:r w:rsidR="009725DB">
              <w:t>2</w:t>
            </w:r>
            <w:r>
              <w:t>nd</w:t>
            </w:r>
          </w:p>
        </w:tc>
        <w:tc>
          <w:tcPr>
            <w:tcW w:w="1134" w:type="dxa"/>
            <w:vAlign w:val="center"/>
          </w:tcPr>
          <w:p w14:paraId="11DDB0DB" w14:textId="2AC72AEE" w:rsidR="00085203" w:rsidRDefault="00CF6751" w:rsidP="0079396D">
            <w:pPr>
              <w:jc w:val="center"/>
            </w:pPr>
            <w:r>
              <w:t>5th</w:t>
            </w:r>
            <w:r w:rsidR="00773C6D">
              <w:t xml:space="preserve"> </w:t>
            </w:r>
          </w:p>
          <w:p w14:paraId="2B0C13DD" w14:textId="52EE0FB7" w:rsidR="00773C6D" w:rsidRDefault="00773C6D" w:rsidP="0079396D">
            <w:pPr>
              <w:jc w:val="center"/>
            </w:pPr>
            <w:r>
              <w:t>(</w:t>
            </w:r>
            <w:r w:rsidR="0042231E">
              <w:t>68</w:t>
            </w:r>
            <w:r>
              <w:t>%)</w:t>
            </w:r>
          </w:p>
        </w:tc>
        <w:tc>
          <w:tcPr>
            <w:tcW w:w="1134" w:type="dxa"/>
            <w:vAlign w:val="center"/>
          </w:tcPr>
          <w:p w14:paraId="0962C727" w14:textId="662E7D95" w:rsidR="00773C6D" w:rsidRDefault="00A21453" w:rsidP="0079396D">
            <w:pPr>
              <w:jc w:val="center"/>
            </w:pPr>
            <w:r>
              <w:t>2nd</w:t>
            </w:r>
          </w:p>
        </w:tc>
      </w:tr>
      <w:tr w:rsidR="00773C6D" w14:paraId="272C65AC" w14:textId="77777777" w:rsidTr="00085203">
        <w:trPr>
          <w:jc w:val="center"/>
        </w:trPr>
        <w:tc>
          <w:tcPr>
            <w:tcW w:w="1980" w:type="dxa"/>
            <w:tcBorders>
              <w:bottom w:val="single" w:sz="4" w:space="0" w:color="auto"/>
            </w:tcBorders>
          </w:tcPr>
          <w:p w14:paraId="7D74A0F1" w14:textId="2964223D" w:rsidR="00532C43" w:rsidRPr="00E77AFA" w:rsidRDefault="00773C6D" w:rsidP="00C74CF6">
            <w:pPr>
              <w:tabs>
                <w:tab w:val="center" w:pos="4153"/>
                <w:tab w:val="right" w:pos="8306"/>
              </w:tabs>
              <w:rPr>
                <w:b/>
              </w:rPr>
            </w:pPr>
            <w:r w:rsidRPr="00B94809">
              <w:rPr>
                <w:rFonts w:cs="Arial"/>
                <w:b/>
                <w:sz w:val="16"/>
                <w:szCs w:val="16"/>
              </w:rPr>
              <w:t>6.</w:t>
            </w:r>
            <w:r>
              <w:rPr>
                <w:rFonts w:cs="Arial"/>
                <w:b/>
                <w:sz w:val="16"/>
                <w:szCs w:val="16"/>
              </w:rPr>
              <w:t>%</w:t>
            </w:r>
            <w:r w:rsidRPr="00B94809">
              <w:rPr>
                <w:rFonts w:cs="Arial"/>
                <w:b/>
                <w:sz w:val="16"/>
                <w:szCs w:val="16"/>
              </w:rPr>
              <w:t xml:space="preserve"> of people with positive experience of care at their GP practice</w:t>
            </w:r>
            <w:r w:rsidR="000044E6">
              <w:rPr>
                <w:rFonts w:cs="Arial"/>
                <w:b/>
                <w:sz w:val="16"/>
                <w:szCs w:val="16"/>
              </w:rPr>
              <w:t>*</w:t>
            </w:r>
          </w:p>
        </w:tc>
        <w:tc>
          <w:tcPr>
            <w:tcW w:w="2693" w:type="dxa"/>
            <w:tcBorders>
              <w:bottom w:val="single" w:sz="4" w:space="0" w:color="auto"/>
            </w:tcBorders>
            <w:shd w:val="clear" w:color="auto" w:fill="D9D9D9" w:themeFill="background1" w:themeFillShade="D9"/>
          </w:tcPr>
          <w:p w14:paraId="7E4F33B6" w14:textId="77777777" w:rsidR="00773C6D" w:rsidRDefault="00773C6D" w:rsidP="00B544A3">
            <w:pPr>
              <w:rPr>
                <w:noProof/>
              </w:rPr>
            </w:pPr>
          </w:p>
        </w:tc>
        <w:tc>
          <w:tcPr>
            <w:tcW w:w="3686" w:type="dxa"/>
            <w:tcBorders>
              <w:bottom w:val="single" w:sz="4" w:space="0" w:color="auto"/>
            </w:tcBorders>
            <w:shd w:val="clear" w:color="auto" w:fill="D9D9D9" w:themeFill="background1" w:themeFillShade="D9"/>
          </w:tcPr>
          <w:p w14:paraId="3F7FB831" w14:textId="77777777" w:rsidR="00773C6D" w:rsidRDefault="00773C6D" w:rsidP="00B544A3">
            <w:pPr>
              <w:rPr>
                <w:noProof/>
              </w:rPr>
            </w:pPr>
          </w:p>
        </w:tc>
        <w:tc>
          <w:tcPr>
            <w:tcW w:w="4541" w:type="dxa"/>
            <w:tcBorders>
              <w:bottom w:val="single" w:sz="4" w:space="0" w:color="auto"/>
            </w:tcBorders>
            <w:shd w:val="clear" w:color="auto" w:fill="D9D9D9" w:themeFill="background1" w:themeFillShade="D9"/>
          </w:tcPr>
          <w:p w14:paraId="21C9F902" w14:textId="77777777" w:rsidR="00773C6D" w:rsidRDefault="00773C6D" w:rsidP="00B544A3">
            <w:pPr>
              <w:rPr>
                <w:noProof/>
              </w:rPr>
            </w:pPr>
          </w:p>
        </w:tc>
        <w:tc>
          <w:tcPr>
            <w:tcW w:w="1276" w:type="dxa"/>
            <w:tcBorders>
              <w:bottom w:val="single" w:sz="4" w:space="0" w:color="auto"/>
            </w:tcBorders>
            <w:vAlign w:val="center"/>
          </w:tcPr>
          <w:p w14:paraId="5C6286F5" w14:textId="229A6D20" w:rsidR="00773C6D" w:rsidRDefault="009C7C26" w:rsidP="00C74CF6">
            <w:pPr>
              <w:jc w:val="center"/>
            </w:pPr>
            <w:r>
              <w:t>1</w:t>
            </w:r>
            <w:r w:rsidR="00222BD0">
              <w:t>4</w:t>
            </w:r>
            <w:r>
              <w:t>th</w:t>
            </w:r>
          </w:p>
        </w:tc>
        <w:tc>
          <w:tcPr>
            <w:tcW w:w="1134" w:type="dxa"/>
            <w:tcBorders>
              <w:bottom w:val="single" w:sz="4" w:space="0" w:color="auto"/>
            </w:tcBorders>
            <w:vAlign w:val="center"/>
          </w:tcPr>
          <w:p w14:paraId="16A80787" w14:textId="77777777" w:rsidR="00FA2BC2" w:rsidRDefault="004561A2" w:rsidP="0079396D">
            <w:pPr>
              <w:jc w:val="center"/>
            </w:pPr>
            <w:r>
              <w:t>3rd</w:t>
            </w:r>
            <w:r w:rsidR="00773C6D">
              <w:t xml:space="preserve"> </w:t>
            </w:r>
          </w:p>
          <w:p w14:paraId="4AE05EE9" w14:textId="3EBF26DB" w:rsidR="00773C6D" w:rsidRDefault="00773C6D" w:rsidP="0079396D">
            <w:pPr>
              <w:jc w:val="center"/>
            </w:pPr>
            <w:r>
              <w:t>(</w:t>
            </w:r>
            <w:r w:rsidR="009A2E0D">
              <w:t>71</w:t>
            </w:r>
            <w:r>
              <w:t>%)</w:t>
            </w:r>
          </w:p>
        </w:tc>
        <w:tc>
          <w:tcPr>
            <w:tcW w:w="1134" w:type="dxa"/>
            <w:tcBorders>
              <w:bottom w:val="single" w:sz="4" w:space="0" w:color="auto"/>
            </w:tcBorders>
            <w:vAlign w:val="center"/>
          </w:tcPr>
          <w:p w14:paraId="1CA5FECB" w14:textId="48CEDD19" w:rsidR="00773C6D" w:rsidRDefault="0018276F" w:rsidP="0079396D">
            <w:pPr>
              <w:jc w:val="center"/>
            </w:pPr>
            <w:r>
              <w:t>2nd</w:t>
            </w:r>
          </w:p>
        </w:tc>
      </w:tr>
      <w:tr w:rsidR="00532C43" w14:paraId="201C9CE2" w14:textId="77777777" w:rsidTr="00085203">
        <w:trPr>
          <w:jc w:val="center"/>
        </w:trPr>
        <w:tc>
          <w:tcPr>
            <w:tcW w:w="1980" w:type="dxa"/>
            <w:shd w:val="clear" w:color="auto" w:fill="BFBFBF" w:themeFill="background1" w:themeFillShade="BF"/>
          </w:tcPr>
          <w:p w14:paraId="6D454C9A" w14:textId="77777777" w:rsidR="00532C43" w:rsidRPr="00B94809" w:rsidRDefault="00532C43" w:rsidP="00532C43">
            <w:pPr>
              <w:tabs>
                <w:tab w:val="center" w:pos="4153"/>
                <w:tab w:val="right" w:pos="8306"/>
              </w:tabs>
              <w:rPr>
                <w:rFonts w:cs="Arial"/>
                <w:b/>
                <w:sz w:val="16"/>
                <w:szCs w:val="16"/>
              </w:rPr>
            </w:pPr>
            <w:r w:rsidRPr="00727A3D">
              <w:rPr>
                <w:b/>
              </w:rPr>
              <w:t>National Indicator</w:t>
            </w:r>
          </w:p>
        </w:tc>
        <w:tc>
          <w:tcPr>
            <w:tcW w:w="2693" w:type="dxa"/>
            <w:tcBorders>
              <w:bottom w:val="single" w:sz="4" w:space="0" w:color="auto"/>
            </w:tcBorders>
            <w:shd w:val="clear" w:color="auto" w:fill="BFBFBF" w:themeFill="background1" w:themeFillShade="BF"/>
          </w:tcPr>
          <w:p w14:paraId="169896F9" w14:textId="0525D444" w:rsidR="00532C43" w:rsidRDefault="00532C43" w:rsidP="00532C43">
            <w:pPr>
              <w:rPr>
                <w:noProof/>
              </w:rPr>
            </w:pPr>
            <w:r w:rsidRPr="00727A3D">
              <w:rPr>
                <w:b/>
              </w:rPr>
              <w:t>Difference From 1</w:t>
            </w:r>
            <w:r w:rsidR="00723311">
              <w:rPr>
                <w:b/>
              </w:rPr>
              <w:t>8-19</w:t>
            </w:r>
            <w:r w:rsidRPr="00727A3D">
              <w:rPr>
                <w:b/>
              </w:rPr>
              <w:t xml:space="preserve"> Baseline</w:t>
            </w:r>
          </w:p>
        </w:tc>
        <w:tc>
          <w:tcPr>
            <w:tcW w:w="3686" w:type="dxa"/>
            <w:tcBorders>
              <w:bottom w:val="single" w:sz="4" w:space="0" w:color="auto"/>
            </w:tcBorders>
            <w:shd w:val="clear" w:color="auto" w:fill="BFBFBF" w:themeFill="background1" w:themeFillShade="BF"/>
          </w:tcPr>
          <w:p w14:paraId="76E49F00" w14:textId="77777777" w:rsidR="00532C43" w:rsidRDefault="00532C43" w:rsidP="00532C43">
            <w:pPr>
              <w:rPr>
                <w:noProof/>
              </w:rPr>
            </w:pPr>
            <w:r>
              <w:rPr>
                <w:b/>
              </w:rPr>
              <w:t xml:space="preserve">Dundee </w:t>
            </w:r>
            <w:r w:rsidRPr="00727A3D">
              <w:rPr>
                <w:b/>
              </w:rPr>
              <w:t>Short Term Trend (last 4 quarters)</w:t>
            </w:r>
          </w:p>
        </w:tc>
        <w:tc>
          <w:tcPr>
            <w:tcW w:w="4541" w:type="dxa"/>
            <w:tcBorders>
              <w:bottom w:val="single" w:sz="4" w:space="0" w:color="auto"/>
            </w:tcBorders>
            <w:shd w:val="clear" w:color="auto" w:fill="BFBFBF" w:themeFill="background1" w:themeFillShade="BF"/>
          </w:tcPr>
          <w:p w14:paraId="3BB4CD51" w14:textId="77777777" w:rsidR="00532C43" w:rsidRDefault="00532C43" w:rsidP="00532C43">
            <w:pPr>
              <w:rPr>
                <w:noProof/>
              </w:rPr>
            </w:pPr>
            <w:r w:rsidRPr="00727A3D">
              <w:rPr>
                <w:b/>
              </w:rPr>
              <w:t>Long Term Trend</w:t>
            </w:r>
          </w:p>
        </w:tc>
        <w:tc>
          <w:tcPr>
            <w:tcW w:w="1276" w:type="dxa"/>
            <w:shd w:val="clear" w:color="auto" w:fill="BFBFBF" w:themeFill="background1" w:themeFillShade="BF"/>
          </w:tcPr>
          <w:p w14:paraId="22358241" w14:textId="77777777" w:rsidR="00532C43" w:rsidRDefault="00532C43" w:rsidP="00532C43">
            <w:pPr>
              <w:jc w:val="center"/>
              <w:rPr>
                <w:b/>
              </w:rPr>
            </w:pPr>
            <w:r>
              <w:rPr>
                <w:b/>
              </w:rPr>
              <w:t>Scotland Position</w:t>
            </w:r>
          </w:p>
          <w:p w14:paraId="79D2CBAE" w14:textId="3ABD7C8F" w:rsidR="00532C43" w:rsidRDefault="00532C43" w:rsidP="00532C43">
            <w:r>
              <w:rPr>
                <w:b/>
              </w:rPr>
              <w:t>1= best, 3</w:t>
            </w:r>
            <w:r w:rsidR="00C976D2">
              <w:rPr>
                <w:b/>
              </w:rPr>
              <w:t>1</w:t>
            </w:r>
            <w:r>
              <w:rPr>
                <w:b/>
              </w:rPr>
              <w:t xml:space="preserve"> = worst</w:t>
            </w:r>
          </w:p>
        </w:tc>
        <w:tc>
          <w:tcPr>
            <w:tcW w:w="1134" w:type="dxa"/>
            <w:shd w:val="clear" w:color="auto" w:fill="BFBFBF" w:themeFill="background1" w:themeFillShade="BF"/>
          </w:tcPr>
          <w:p w14:paraId="26DCCAC6" w14:textId="77777777" w:rsidR="00532C43" w:rsidRDefault="00532C43" w:rsidP="00532C43">
            <w:pPr>
              <w:jc w:val="center"/>
              <w:rPr>
                <w:b/>
              </w:rPr>
            </w:pPr>
            <w:r w:rsidRPr="00727A3D">
              <w:rPr>
                <w:b/>
              </w:rPr>
              <w:t>Family Group Position</w:t>
            </w:r>
          </w:p>
          <w:p w14:paraId="7F5BCB71" w14:textId="77777777" w:rsidR="00532C43" w:rsidRDefault="00532C43" w:rsidP="00532C43">
            <w:pPr>
              <w:jc w:val="center"/>
            </w:pPr>
            <w:r>
              <w:rPr>
                <w:b/>
              </w:rPr>
              <w:t>1= best, 8 = worst</w:t>
            </w:r>
          </w:p>
        </w:tc>
        <w:tc>
          <w:tcPr>
            <w:tcW w:w="1134" w:type="dxa"/>
            <w:shd w:val="clear" w:color="auto" w:fill="BFBFBF" w:themeFill="background1" w:themeFillShade="BF"/>
          </w:tcPr>
          <w:p w14:paraId="7F98B31F" w14:textId="77777777" w:rsidR="00532C43" w:rsidRDefault="00532C43" w:rsidP="00532C43">
            <w:pPr>
              <w:jc w:val="center"/>
            </w:pPr>
            <w:r w:rsidRPr="00727A3D">
              <w:rPr>
                <w:b/>
              </w:rPr>
              <w:t>Tayside Group Position</w:t>
            </w:r>
            <w:r>
              <w:rPr>
                <w:b/>
              </w:rPr>
              <w:t xml:space="preserve"> 1= best, 3 = worst</w:t>
            </w:r>
          </w:p>
        </w:tc>
      </w:tr>
      <w:tr w:rsidR="00532C43" w14:paraId="1DD20422" w14:textId="77777777" w:rsidTr="00085203">
        <w:trPr>
          <w:jc w:val="center"/>
        </w:trPr>
        <w:tc>
          <w:tcPr>
            <w:tcW w:w="1980" w:type="dxa"/>
          </w:tcPr>
          <w:p w14:paraId="04BB3DE2" w14:textId="0182366F" w:rsidR="00532C43" w:rsidRPr="00E77AFA" w:rsidRDefault="00532C43" w:rsidP="00532C43">
            <w:pPr>
              <w:tabs>
                <w:tab w:val="center" w:pos="4153"/>
                <w:tab w:val="right" w:pos="8306"/>
              </w:tabs>
              <w:rPr>
                <w:b/>
              </w:rPr>
            </w:pPr>
            <w:r w:rsidRPr="00B94809">
              <w:rPr>
                <w:rFonts w:cs="Arial"/>
                <w:b/>
                <w:sz w:val="16"/>
                <w:szCs w:val="16"/>
              </w:rPr>
              <w:t>7.</w:t>
            </w:r>
            <w:r>
              <w:rPr>
                <w:rFonts w:cs="Arial"/>
                <w:b/>
                <w:sz w:val="16"/>
                <w:szCs w:val="16"/>
              </w:rPr>
              <w:t>%</w:t>
            </w:r>
            <w:r w:rsidRPr="00B94809">
              <w:rPr>
                <w:rFonts w:cs="Arial"/>
                <w:b/>
                <w:sz w:val="16"/>
                <w:szCs w:val="16"/>
              </w:rPr>
              <w:t xml:space="preserve"> of adults supported at home who agree that their services and support had an impact on improving or maintaining their quality of life</w:t>
            </w:r>
            <w:r w:rsidR="000044E6">
              <w:rPr>
                <w:rFonts w:cs="Arial"/>
                <w:b/>
                <w:sz w:val="16"/>
                <w:szCs w:val="16"/>
              </w:rPr>
              <w:t>*</w:t>
            </w:r>
          </w:p>
        </w:tc>
        <w:tc>
          <w:tcPr>
            <w:tcW w:w="2693" w:type="dxa"/>
            <w:shd w:val="clear" w:color="auto" w:fill="D9D9D9" w:themeFill="background1" w:themeFillShade="D9"/>
          </w:tcPr>
          <w:p w14:paraId="1E41A7EC" w14:textId="77777777" w:rsidR="00532C43" w:rsidRDefault="00532C43" w:rsidP="00532C43">
            <w:pPr>
              <w:rPr>
                <w:noProof/>
              </w:rPr>
            </w:pPr>
          </w:p>
        </w:tc>
        <w:tc>
          <w:tcPr>
            <w:tcW w:w="3686" w:type="dxa"/>
            <w:shd w:val="clear" w:color="auto" w:fill="D9D9D9" w:themeFill="background1" w:themeFillShade="D9"/>
          </w:tcPr>
          <w:p w14:paraId="57D3D1A3" w14:textId="77777777" w:rsidR="00532C43" w:rsidRDefault="00532C43" w:rsidP="00532C43">
            <w:pPr>
              <w:rPr>
                <w:noProof/>
              </w:rPr>
            </w:pPr>
          </w:p>
        </w:tc>
        <w:tc>
          <w:tcPr>
            <w:tcW w:w="4541" w:type="dxa"/>
            <w:shd w:val="clear" w:color="auto" w:fill="D9D9D9" w:themeFill="background1" w:themeFillShade="D9"/>
          </w:tcPr>
          <w:p w14:paraId="741E504D" w14:textId="77777777" w:rsidR="00532C43" w:rsidRDefault="00532C43" w:rsidP="00532C43">
            <w:pPr>
              <w:rPr>
                <w:noProof/>
              </w:rPr>
            </w:pPr>
          </w:p>
        </w:tc>
        <w:tc>
          <w:tcPr>
            <w:tcW w:w="1276" w:type="dxa"/>
            <w:vAlign w:val="center"/>
          </w:tcPr>
          <w:p w14:paraId="49FB7E00" w14:textId="0EAB87CC" w:rsidR="00532C43" w:rsidRDefault="00C8728B" w:rsidP="00D301B7">
            <w:pPr>
              <w:jc w:val="center"/>
            </w:pPr>
            <w:r>
              <w:t>14</w:t>
            </w:r>
            <w:r w:rsidR="009C7C26">
              <w:t>th</w:t>
            </w:r>
          </w:p>
        </w:tc>
        <w:tc>
          <w:tcPr>
            <w:tcW w:w="1134" w:type="dxa"/>
            <w:vAlign w:val="center"/>
          </w:tcPr>
          <w:p w14:paraId="12EBFCFF" w14:textId="04DA0996" w:rsidR="00FA2BC2" w:rsidRDefault="00985EEA" w:rsidP="00085203">
            <w:pPr>
              <w:jc w:val="center"/>
            </w:pPr>
            <w:r>
              <w:t>3rd</w:t>
            </w:r>
          </w:p>
          <w:p w14:paraId="501DB2B8" w14:textId="566F3BD4" w:rsidR="00532C43" w:rsidRDefault="00532C43" w:rsidP="00085203">
            <w:pPr>
              <w:jc w:val="center"/>
            </w:pPr>
            <w:r>
              <w:t>(7</w:t>
            </w:r>
            <w:r w:rsidR="00985EEA">
              <w:t>1</w:t>
            </w:r>
            <w:r>
              <w:t>%)</w:t>
            </w:r>
          </w:p>
        </w:tc>
        <w:tc>
          <w:tcPr>
            <w:tcW w:w="1134" w:type="dxa"/>
            <w:vAlign w:val="center"/>
          </w:tcPr>
          <w:p w14:paraId="1E5E2C31" w14:textId="36426C25" w:rsidR="00532C43" w:rsidRDefault="003F6B02" w:rsidP="00D301B7">
            <w:pPr>
              <w:jc w:val="center"/>
            </w:pPr>
            <w:r>
              <w:t>2nd</w:t>
            </w:r>
          </w:p>
        </w:tc>
      </w:tr>
      <w:tr w:rsidR="00532C43" w14:paraId="243B7E61" w14:textId="77777777" w:rsidTr="00085203">
        <w:trPr>
          <w:jc w:val="center"/>
        </w:trPr>
        <w:tc>
          <w:tcPr>
            <w:tcW w:w="1980" w:type="dxa"/>
          </w:tcPr>
          <w:p w14:paraId="1CF545E6" w14:textId="7B6F039B" w:rsidR="00532C43" w:rsidRPr="00E77AFA" w:rsidRDefault="00532C43" w:rsidP="00532C43">
            <w:pPr>
              <w:tabs>
                <w:tab w:val="center" w:pos="4153"/>
                <w:tab w:val="right" w:pos="8306"/>
              </w:tabs>
              <w:rPr>
                <w:b/>
              </w:rPr>
            </w:pPr>
            <w:r w:rsidRPr="00B94809">
              <w:rPr>
                <w:rFonts w:cs="Arial"/>
                <w:b/>
                <w:sz w:val="16"/>
                <w:szCs w:val="16"/>
              </w:rPr>
              <w:t>8.</w:t>
            </w:r>
            <w:r>
              <w:rPr>
                <w:rFonts w:cs="Arial"/>
                <w:b/>
                <w:sz w:val="16"/>
                <w:szCs w:val="16"/>
              </w:rPr>
              <w:t>%</w:t>
            </w:r>
            <w:r w:rsidRPr="00B94809">
              <w:rPr>
                <w:rFonts w:cs="Arial"/>
                <w:b/>
                <w:sz w:val="16"/>
                <w:szCs w:val="16"/>
              </w:rPr>
              <w:t xml:space="preserve"> of carers who feel supported to continue in their caring role</w:t>
            </w:r>
            <w:r w:rsidR="000044E6">
              <w:rPr>
                <w:rFonts w:cs="Arial"/>
                <w:b/>
                <w:sz w:val="16"/>
                <w:szCs w:val="16"/>
              </w:rPr>
              <w:t>*</w:t>
            </w:r>
          </w:p>
        </w:tc>
        <w:tc>
          <w:tcPr>
            <w:tcW w:w="2693" w:type="dxa"/>
            <w:shd w:val="clear" w:color="auto" w:fill="D9D9D9" w:themeFill="background1" w:themeFillShade="D9"/>
          </w:tcPr>
          <w:p w14:paraId="08874F37" w14:textId="77777777" w:rsidR="00532C43" w:rsidRDefault="00532C43" w:rsidP="00532C43">
            <w:pPr>
              <w:rPr>
                <w:noProof/>
              </w:rPr>
            </w:pPr>
          </w:p>
        </w:tc>
        <w:tc>
          <w:tcPr>
            <w:tcW w:w="3686" w:type="dxa"/>
            <w:shd w:val="clear" w:color="auto" w:fill="D9D9D9" w:themeFill="background1" w:themeFillShade="D9"/>
          </w:tcPr>
          <w:p w14:paraId="49F6AF78" w14:textId="77777777" w:rsidR="00532C43" w:rsidRDefault="00532C43" w:rsidP="00532C43">
            <w:pPr>
              <w:rPr>
                <w:noProof/>
              </w:rPr>
            </w:pPr>
          </w:p>
        </w:tc>
        <w:tc>
          <w:tcPr>
            <w:tcW w:w="4541" w:type="dxa"/>
            <w:shd w:val="clear" w:color="auto" w:fill="D9D9D9" w:themeFill="background1" w:themeFillShade="D9"/>
          </w:tcPr>
          <w:p w14:paraId="17B67B2B" w14:textId="77777777" w:rsidR="00532C43" w:rsidRDefault="00532C43" w:rsidP="00532C43">
            <w:pPr>
              <w:rPr>
                <w:noProof/>
              </w:rPr>
            </w:pPr>
          </w:p>
        </w:tc>
        <w:tc>
          <w:tcPr>
            <w:tcW w:w="1276" w:type="dxa"/>
            <w:vAlign w:val="center"/>
          </w:tcPr>
          <w:p w14:paraId="4E9FDBAA" w14:textId="6877B3BC" w:rsidR="00532C43" w:rsidRDefault="00FC52E6" w:rsidP="00D301B7">
            <w:pPr>
              <w:jc w:val="center"/>
            </w:pPr>
            <w:r>
              <w:t>8th</w:t>
            </w:r>
          </w:p>
        </w:tc>
        <w:tc>
          <w:tcPr>
            <w:tcW w:w="1134" w:type="dxa"/>
            <w:vAlign w:val="center"/>
          </w:tcPr>
          <w:p w14:paraId="24955D37" w14:textId="47D26E33" w:rsidR="00FA2BC2" w:rsidRDefault="003A6E66" w:rsidP="00D301B7">
            <w:pPr>
              <w:jc w:val="center"/>
            </w:pPr>
            <w:r>
              <w:t>3rd</w:t>
            </w:r>
            <w:r w:rsidR="00532C43">
              <w:t xml:space="preserve"> </w:t>
            </w:r>
          </w:p>
          <w:p w14:paraId="65BAE7B1" w14:textId="442925D3" w:rsidR="00532C43" w:rsidRDefault="00532C43" w:rsidP="00D301B7">
            <w:pPr>
              <w:jc w:val="center"/>
            </w:pPr>
            <w:r>
              <w:t>(</w:t>
            </w:r>
            <w:r w:rsidR="003A6E66">
              <w:t>34</w:t>
            </w:r>
            <w:r>
              <w:t>%)</w:t>
            </w:r>
          </w:p>
          <w:p w14:paraId="4E575076" w14:textId="77777777" w:rsidR="00532C43" w:rsidRPr="00CB4292" w:rsidRDefault="00532C43" w:rsidP="00D301B7">
            <w:pPr>
              <w:jc w:val="center"/>
            </w:pPr>
          </w:p>
        </w:tc>
        <w:tc>
          <w:tcPr>
            <w:tcW w:w="1134" w:type="dxa"/>
            <w:vAlign w:val="center"/>
          </w:tcPr>
          <w:p w14:paraId="06B68C92" w14:textId="708F74E2" w:rsidR="00532C43" w:rsidRDefault="00905729" w:rsidP="00D301B7">
            <w:pPr>
              <w:jc w:val="center"/>
            </w:pPr>
            <w:r>
              <w:t>1st</w:t>
            </w:r>
          </w:p>
        </w:tc>
      </w:tr>
      <w:tr w:rsidR="00532C43" w14:paraId="1361F80B" w14:textId="77777777" w:rsidTr="00085203">
        <w:trPr>
          <w:jc w:val="center"/>
        </w:trPr>
        <w:tc>
          <w:tcPr>
            <w:tcW w:w="1980" w:type="dxa"/>
          </w:tcPr>
          <w:p w14:paraId="196C11B4" w14:textId="728E4312" w:rsidR="00532C43" w:rsidRPr="00E77AFA" w:rsidRDefault="00532C43" w:rsidP="00532C43">
            <w:pPr>
              <w:tabs>
                <w:tab w:val="center" w:pos="4153"/>
                <w:tab w:val="right" w:pos="8306"/>
              </w:tabs>
              <w:rPr>
                <w:b/>
              </w:rPr>
            </w:pPr>
            <w:r>
              <w:rPr>
                <w:rFonts w:cs="Arial"/>
                <w:b/>
                <w:sz w:val="16"/>
                <w:szCs w:val="16"/>
              </w:rPr>
              <w:t>9.%</w:t>
            </w:r>
            <w:r w:rsidRPr="00B94809">
              <w:rPr>
                <w:rFonts w:cs="Arial"/>
                <w:b/>
                <w:sz w:val="16"/>
                <w:szCs w:val="16"/>
              </w:rPr>
              <w:t xml:space="preserve"> of adults supported at home who agreed they felt safe</w:t>
            </w:r>
            <w:r w:rsidR="000044E6">
              <w:rPr>
                <w:rFonts w:cs="Arial"/>
                <w:b/>
                <w:sz w:val="16"/>
                <w:szCs w:val="16"/>
              </w:rPr>
              <w:t>*</w:t>
            </w:r>
          </w:p>
        </w:tc>
        <w:tc>
          <w:tcPr>
            <w:tcW w:w="2693" w:type="dxa"/>
            <w:tcBorders>
              <w:bottom w:val="single" w:sz="4" w:space="0" w:color="auto"/>
            </w:tcBorders>
            <w:shd w:val="clear" w:color="auto" w:fill="D9D9D9" w:themeFill="background1" w:themeFillShade="D9"/>
          </w:tcPr>
          <w:p w14:paraId="61EFDE49" w14:textId="77777777" w:rsidR="00532C43" w:rsidRDefault="00532C43" w:rsidP="00532C43">
            <w:pPr>
              <w:rPr>
                <w:noProof/>
              </w:rPr>
            </w:pPr>
          </w:p>
        </w:tc>
        <w:tc>
          <w:tcPr>
            <w:tcW w:w="3686" w:type="dxa"/>
            <w:tcBorders>
              <w:bottom w:val="single" w:sz="4" w:space="0" w:color="auto"/>
            </w:tcBorders>
            <w:shd w:val="clear" w:color="auto" w:fill="D9D9D9" w:themeFill="background1" w:themeFillShade="D9"/>
          </w:tcPr>
          <w:p w14:paraId="4A2F83B1" w14:textId="77777777" w:rsidR="00532C43" w:rsidRDefault="00532C43" w:rsidP="00532C43">
            <w:pPr>
              <w:rPr>
                <w:noProof/>
              </w:rPr>
            </w:pPr>
          </w:p>
        </w:tc>
        <w:tc>
          <w:tcPr>
            <w:tcW w:w="4541" w:type="dxa"/>
            <w:tcBorders>
              <w:bottom w:val="single" w:sz="4" w:space="0" w:color="auto"/>
            </w:tcBorders>
            <w:shd w:val="clear" w:color="auto" w:fill="D9D9D9" w:themeFill="background1" w:themeFillShade="D9"/>
          </w:tcPr>
          <w:p w14:paraId="1BDBE9BB" w14:textId="77777777" w:rsidR="00532C43" w:rsidRDefault="00532C43" w:rsidP="00532C43">
            <w:pPr>
              <w:rPr>
                <w:noProof/>
              </w:rPr>
            </w:pPr>
          </w:p>
        </w:tc>
        <w:tc>
          <w:tcPr>
            <w:tcW w:w="1276" w:type="dxa"/>
            <w:tcBorders>
              <w:bottom w:val="single" w:sz="4" w:space="0" w:color="auto"/>
            </w:tcBorders>
            <w:vAlign w:val="center"/>
          </w:tcPr>
          <w:p w14:paraId="5EA268E6" w14:textId="5E889440" w:rsidR="00532C43" w:rsidRDefault="00426A88" w:rsidP="00D301B7">
            <w:pPr>
              <w:jc w:val="center"/>
            </w:pPr>
            <w:r>
              <w:t>11</w:t>
            </w:r>
            <w:r w:rsidR="009C7C26">
              <w:t>th</w:t>
            </w:r>
          </w:p>
        </w:tc>
        <w:tc>
          <w:tcPr>
            <w:tcW w:w="1134" w:type="dxa"/>
            <w:tcBorders>
              <w:bottom w:val="single" w:sz="4" w:space="0" w:color="auto"/>
            </w:tcBorders>
            <w:vAlign w:val="center"/>
          </w:tcPr>
          <w:p w14:paraId="745CEA67" w14:textId="1B10B40C" w:rsidR="00FA2BC2" w:rsidRDefault="00AD6343" w:rsidP="00D301B7">
            <w:pPr>
              <w:jc w:val="center"/>
            </w:pPr>
            <w:r>
              <w:t>1</w:t>
            </w:r>
            <w:r>
              <w:rPr>
                <w:vertAlign w:val="superscript"/>
              </w:rPr>
              <w:t>st</w:t>
            </w:r>
            <w:r w:rsidR="00532C43">
              <w:t xml:space="preserve"> </w:t>
            </w:r>
          </w:p>
          <w:p w14:paraId="179F21B7" w14:textId="1125DB5B" w:rsidR="00532C43" w:rsidRDefault="00532C43" w:rsidP="00D301B7">
            <w:pPr>
              <w:jc w:val="center"/>
            </w:pPr>
            <w:r>
              <w:t>(</w:t>
            </w:r>
            <w:r w:rsidR="004561A2">
              <w:t>77</w:t>
            </w:r>
            <w:r>
              <w:t>%)</w:t>
            </w:r>
          </w:p>
        </w:tc>
        <w:tc>
          <w:tcPr>
            <w:tcW w:w="1134" w:type="dxa"/>
            <w:tcBorders>
              <w:bottom w:val="single" w:sz="4" w:space="0" w:color="auto"/>
            </w:tcBorders>
            <w:vAlign w:val="center"/>
          </w:tcPr>
          <w:p w14:paraId="4EDD1B02" w14:textId="2A2F1839" w:rsidR="00532C43" w:rsidRDefault="00C36C1B" w:rsidP="00D301B7">
            <w:pPr>
              <w:jc w:val="center"/>
            </w:pPr>
            <w:r>
              <w:t>2nd</w:t>
            </w:r>
          </w:p>
        </w:tc>
      </w:tr>
      <w:tr w:rsidR="00532C43" w14:paraId="7111B02A" w14:textId="77777777" w:rsidTr="00085203">
        <w:trPr>
          <w:jc w:val="center"/>
        </w:trPr>
        <w:tc>
          <w:tcPr>
            <w:tcW w:w="1980" w:type="dxa"/>
            <w:tcBorders>
              <w:bottom w:val="single" w:sz="4" w:space="0" w:color="auto"/>
            </w:tcBorders>
          </w:tcPr>
          <w:p w14:paraId="30756915" w14:textId="77777777" w:rsidR="00532C43" w:rsidRDefault="00532C43" w:rsidP="00532C43">
            <w:pPr>
              <w:tabs>
                <w:tab w:val="center" w:pos="4153"/>
                <w:tab w:val="right" w:pos="8306"/>
              </w:tabs>
              <w:rPr>
                <w:rFonts w:cs="Arial"/>
                <w:b/>
                <w:sz w:val="16"/>
                <w:szCs w:val="16"/>
              </w:rPr>
            </w:pPr>
            <w:r>
              <w:rPr>
                <w:rFonts w:cs="Arial"/>
                <w:b/>
                <w:sz w:val="16"/>
                <w:szCs w:val="16"/>
              </w:rPr>
              <w:t>10. % staff who say they would recommend their workplace as a good place to work</w:t>
            </w:r>
          </w:p>
          <w:p w14:paraId="234D0F1E" w14:textId="77777777" w:rsidR="00532C43" w:rsidRDefault="00532C43" w:rsidP="00532C43">
            <w:pPr>
              <w:tabs>
                <w:tab w:val="center" w:pos="4153"/>
                <w:tab w:val="right" w:pos="8306"/>
              </w:tabs>
              <w:rPr>
                <w:rFonts w:cs="Arial"/>
                <w:b/>
                <w:sz w:val="16"/>
                <w:szCs w:val="16"/>
              </w:rPr>
            </w:pPr>
          </w:p>
        </w:tc>
        <w:tc>
          <w:tcPr>
            <w:tcW w:w="2693" w:type="dxa"/>
            <w:tcBorders>
              <w:bottom w:val="single" w:sz="4" w:space="0" w:color="auto"/>
            </w:tcBorders>
            <w:shd w:val="clear" w:color="auto" w:fill="FFFFFF" w:themeFill="background1"/>
          </w:tcPr>
          <w:p w14:paraId="5E49A61F" w14:textId="77777777" w:rsidR="00532C43" w:rsidRDefault="00532C43" w:rsidP="00532C43">
            <w:pPr>
              <w:rPr>
                <w:noProof/>
              </w:rPr>
            </w:pPr>
            <w:r>
              <w:rPr>
                <w:noProof/>
              </w:rPr>
              <w:t>Not Available Nationally</w:t>
            </w:r>
          </w:p>
        </w:tc>
        <w:tc>
          <w:tcPr>
            <w:tcW w:w="3686" w:type="dxa"/>
            <w:tcBorders>
              <w:bottom w:val="single" w:sz="4" w:space="0" w:color="auto"/>
            </w:tcBorders>
            <w:shd w:val="clear" w:color="auto" w:fill="FFFFFF" w:themeFill="background1"/>
          </w:tcPr>
          <w:p w14:paraId="4A76E441" w14:textId="77777777" w:rsidR="00532C43" w:rsidRDefault="00532C43" w:rsidP="00532C43">
            <w:pPr>
              <w:rPr>
                <w:noProof/>
              </w:rPr>
            </w:pPr>
            <w:r>
              <w:rPr>
                <w:noProof/>
              </w:rPr>
              <w:t>Not Available Nationally</w:t>
            </w:r>
          </w:p>
        </w:tc>
        <w:tc>
          <w:tcPr>
            <w:tcW w:w="4541" w:type="dxa"/>
            <w:tcBorders>
              <w:bottom w:val="single" w:sz="4" w:space="0" w:color="auto"/>
            </w:tcBorders>
            <w:shd w:val="clear" w:color="auto" w:fill="FFFFFF" w:themeFill="background1"/>
          </w:tcPr>
          <w:p w14:paraId="4E1F6828" w14:textId="77777777" w:rsidR="00532C43" w:rsidRDefault="00532C43" w:rsidP="00532C43">
            <w:pPr>
              <w:rPr>
                <w:noProof/>
              </w:rPr>
            </w:pPr>
            <w:r>
              <w:rPr>
                <w:noProof/>
              </w:rPr>
              <w:t>Not Available Nationally</w:t>
            </w:r>
          </w:p>
        </w:tc>
        <w:tc>
          <w:tcPr>
            <w:tcW w:w="1276" w:type="dxa"/>
            <w:tcBorders>
              <w:bottom w:val="single" w:sz="4" w:space="0" w:color="auto"/>
            </w:tcBorders>
            <w:shd w:val="clear" w:color="auto" w:fill="D9D9D9" w:themeFill="background1" w:themeFillShade="D9"/>
          </w:tcPr>
          <w:p w14:paraId="25EB9881" w14:textId="77777777" w:rsidR="00532C43" w:rsidRDefault="00532C43" w:rsidP="00D301B7">
            <w:pPr>
              <w:jc w:val="center"/>
            </w:pPr>
          </w:p>
        </w:tc>
        <w:tc>
          <w:tcPr>
            <w:tcW w:w="1134" w:type="dxa"/>
            <w:tcBorders>
              <w:bottom w:val="single" w:sz="4" w:space="0" w:color="auto"/>
            </w:tcBorders>
            <w:shd w:val="clear" w:color="auto" w:fill="D9D9D9" w:themeFill="background1" w:themeFillShade="D9"/>
          </w:tcPr>
          <w:p w14:paraId="5A465BC3" w14:textId="77777777" w:rsidR="00532C43" w:rsidRDefault="00532C43" w:rsidP="00D301B7">
            <w:pPr>
              <w:jc w:val="center"/>
            </w:pPr>
          </w:p>
        </w:tc>
        <w:tc>
          <w:tcPr>
            <w:tcW w:w="1134" w:type="dxa"/>
            <w:tcBorders>
              <w:bottom w:val="single" w:sz="4" w:space="0" w:color="auto"/>
            </w:tcBorders>
            <w:shd w:val="clear" w:color="auto" w:fill="D9D9D9" w:themeFill="background1" w:themeFillShade="D9"/>
          </w:tcPr>
          <w:p w14:paraId="583B2BF1" w14:textId="77777777" w:rsidR="00532C43" w:rsidRDefault="00532C43" w:rsidP="00D301B7">
            <w:pPr>
              <w:jc w:val="center"/>
            </w:pPr>
          </w:p>
        </w:tc>
      </w:tr>
      <w:tr w:rsidR="00532C43" w14:paraId="3092C6B5" w14:textId="77777777" w:rsidTr="00085203">
        <w:trPr>
          <w:jc w:val="center"/>
        </w:trPr>
        <w:tc>
          <w:tcPr>
            <w:tcW w:w="1980" w:type="dxa"/>
            <w:tcBorders>
              <w:bottom w:val="single" w:sz="4" w:space="0" w:color="auto"/>
            </w:tcBorders>
          </w:tcPr>
          <w:p w14:paraId="4EA01F83" w14:textId="77777777" w:rsidR="00532C43" w:rsidRPr="00773C6D" w:rsidRDefault="00532C43" w:rsidP="00532C43">
            <w:pPr>
              <w:tabs>
                <w:tab w:val="center" w:pos="4153"/>
                <w:tab w:val="right" w:pos="8306"/>
              </w:tabs>
              <w:rPr>
                <w:b/>
                <w:sz w:val="16"/>
                <w:szCs w:val="16"/>
              </w:rPr>
            </w:pPr>
            <w:r w:rsidRPr="00773C6D">
              <w:rPr>
                <w:b/>
                <w:sz w:val="16"/>
                <w:szCs w:val="16"/>
              </w:rPr>
              <w:t>11. Premature mortality rate per 100,000 persons</w:t>
            </w:r>
          </w:p>
        </w:tc>
        <w:tc>
          <w:tcPr>
            <w:tcW w:w="2693" w:type="dxa"/>
            <w:tcBorders>
              <w:bottom w:val="single" w:sz="4" w:space="0" w:color="auto"/>
            </w:tcBorders>
          </w:tcPr>
          <w:p w14:paraId="6FE5BFED" w14:textId="5E99DD1E" w:rsidR="00532C43" w:rsidRDefault="005B01E3" w:rsidP="00532C43">
            <w:pPr>
              <w:rPr>
                <w:noProof/>
              </w:rPr>
            </w:pPr>
            <w:r>
              <w:rPr>
                <w:noProof/>
              </w:rPr>
              <w:t>4.5</w:t>
            </w:r>
            <w:r w:rsidR="00532C43">
              <w:rPr>
                <w:noProof/>
              </w:rPr>
              <w:t xml:space="preserve">% </w:t>
            </w:r>
            <w:r w:rsidR="00F632D3">
              <w:rPr>
                <w:noProof/>
              </w:rPr>
              <w:t>less</w:t>
            </w:r>
            <w:r w:rsidR="00532C43">
              <w:rPr>
                <w:noProof/>
              </w:rPr>
              <w:t xml:space="preserve"> in 20</w:t>
            </w:r>
            <w:r w:rsidR="0058518C">
              <w:rPr>
                <w:noProof/>
              </w:rPr>
              <w:t>2</w:t>
            </w:r>
            <w:r w:rsidR="00F632D3">
              <w:rPr>
                <w:noProof/>
              </w:rPr>
              <w:t>2</w:t>
            </w:r>
            <w:r w:rsidR="00532C43">
              <w:rPr>
                <w:noProof/>
              </w:rPr>
              <w:t xml:space="preserve"> than </w:t>
            </w:r>
            <w:r w:rsidR="0058518C">
              <w:rPr>
                <w:noProof/>
              </w:rPr>
              <w:t>2016 (</w:t>
            </w:r>
            <w:r w:rsidR="00F632D3">
              <w:rPr>
                <w:noProof/>
              </w:rPr>
              <w:t>improvement</w:t>
            </w:r>
            <w:r w:rsidR="0058518C">
              <w:rPr>
                <w:noProof/>
              </w:rPr>
              <w:t>)</w:t>
            </w:r>
          </w:p>
        </w:tc>
        <w:tc>
          <w:tcPr>
            <w:tcW w:w="3686" w:type="dxa"/>
            <w:tcBorders>
              <w:bottom w:val="single" w:sz="4" w:space="0" w:color="auto"/>
            </w:tcBorders>
          </w:tcPr>
          <w:p w14:paraId="5C00D10B" w14:textId="77777777" w:rsidR="00532C43" w:rsidRDefault="00532C43" w:rsidP="00532C43">
            <w:pPr>
              <w:rPr>
                <w:noProof/>
              </w:rPr>
            </w:pPr>
            <w:r>
              <w:rPr>
                <w:noProof/>
              </w:rPr>
              <w:t>Not Available</w:t>
            </w:r>
          </w:p>
        </w:tc>
        <w:tc>
          <w:tcPr>
            <w:tcW w:w="4541" w:type="dxa"/>
            <w:tcBorders>
              <w:bottom w:val="single" w:sz="4" w:space="0" w:color="auto"/>
            </w:tcBorders>
          </w:tcPr>
          <w:p w14:paraId="26608D35" w14:textId="1E7FBE70" w:rsidR="00532C43" w:rsidRDefault="00532C43" w:rsidP="00532C43">
            <w:pPr>
              <w:rPr>
                <w:noProof/>
              </w:rPr>
            </w:pPr>
          </w:p>
          <w:p w14:paraId="24522C76" w14:textId="33E1D489" w:rsidR="00BB37AE" w:rsidRDefault="0087446F" w:rsidP="00532C43">
            <w:pPr>
              <w:rPr>
                <w:noProof/>
              </w:rPr>
            </w:pPr>
            <w:r>
              <w:rPr>
                <w:noProof/>
              </w:rPr>
              <w:drawing>
                <wp:inline distT="0" distB="0" distL="0" distR="0" wp14:anchorId="79A34FBA" wp14:editId="3F43BFE2">
                  <wp:extent cx="2714625" cy="2000250"/>
                  <wp:effectExtent l="0" t="0" r="0" b="0"/>
                  <wp:docPr id="1405271283" name="Chart 1">
                    <a:extLst xmlns:a="http://schemas.openxmlformats.org/drawingml/2006/main">
                      <a:ext uri="{FF2B5EF4-FFF2-40B4-BE49-F238E27FC236}">
                        <a16:creationId xmlns:a16="http://schemas.microsoft.com/office/drawing/2014/main" id="{D5BDE71F-625C-9998-1BAC-3B0C539185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BC365D5" w14:textId="4DC22CEE" w:rsidR="00B9599D" w:rsidRDefault="00B9599D" w:rsidP="00532C43">
            <w:pPr>
              <w:rPr>
                <w:noProof/>
              </w:rPr>
            </w:pPr>
          </w:p>
          <w:p w14:paraId="6115E78B" w14:textId="26982AC7" w:rsidR="00837647" w:rsidRDefault="00837647" w:rsidP="00532C43">
            <w:pPr>
              <w:rPr>
                <w:noProof/>
              </w:rPr>
            </w:pPr>
            <w:r>
              <w:rPr>
                <w:noProof/>
              </w:rPr>
              <w:t>202</w:t>
            </w:r>
            <w:r w:rsidR="00B9599D">
              <w:rPr>
                <w:noProof/>
              </w:rPr>
              <w:t>2</w:t>
            </w:r>
            <w:r>
              <w:rPr>
                <w:noProof/>
              </w:rPr>
              <w:t xml:space="preserve"> is latest available published data</w:t>
            </w:r>
          </w:p>
        </w:tc>
        <w:tc>
          <w:tcPr>
            <w:tcW w:w="1276" w:type="dxa"/>
            <w:tcBorders>
              <w:bottom w:val="single" w:sz="4" w:space="0" w:color="auto"/>
            </w:tcBorders>
          </w:tcPr>
          <w:p w14:paraId="2060AFAA" w14:textId="77777777" w:rsidR="00532C43" w:rsidRDefault="00532C43" w:rsidP="00D301B7">
            <w:pPr>
              <w:jc w:val="center"/>
            </w:pPr>
            <w:r>
              <w:t>29th</w:t>
            </w:r>
          </w:p>
        </w:tc>
        <w:tc>
          <w:tcPr>
            <w:tcW w:w="1134" w:type="dxa"/>
            <w:tcBorders>
              <w:bottom w:val="single" w:sz="4" w:space="0" w:color="auto"/>
            </w:tcBorders>
          </w:tcPr>
          <w:p w14:paraId="383FE360" w14:textId="38894AD4" w:rsidR="00532C43" w:rsidRDefault="00277935" w:rsidP="00D301B7">
            <w:pPr>
              <w:jc w:val="center"/>
            </w:pPr>
            <w:r>
              <w:t>6</w:t>
            </w:r>
            <w:r w:rsidR="00532C43">
              <w:t>th</w:t>
            </w:r>
          </w:p>
        </w:tc>
        <w:tc>
          <w:tcPr>
            <w:tcW w:w="1134" w:type="dxa"/>
            <w:tcBorders>
              <w:bottom w:val="single" w:sz="4" w:space="0" w:color="auto"/>
            </w:tcBorders>
          </w:tcPr>
          <w:p w14:paraId="0602B2D2" w14:textId="24A1D1C3" w:rsidR="00532C43" w:rsidRDefault="00B16B09" w:rsidP="00D301B7">
            <w:pPr>
              <w:jc w:val="center"/>
            </w:pPr>
            <w:r>
              <w:t>3rd</w:t>
            </w:r>
          </w:p>
        </w:tc>
      </w:tr>
      <w:tr w:rsidR="00BB37AE" w14:paraId="6A12BFB0" w14:textId="77777777" w:rsidTr="00085203">
        <w:trPr>
          <w:trHeight w:val="1269"/>
          <w:jc w:val="center"/>
        </w:trPr>
        <w:tc>
          <w:tcPr>
            <w:tcW w:w="1980" w:type="dxa"/>
            <w:tcBorders>
              <w:bottom w:val="single" w:sz="4" w:space="0" w:color="auto"/>
            </w:tcBorders>
            <w:shd w:val="clear" w:color="auto" w:fill="BFBFBF" w:themeFill="background1" w:themeFillShade="BF"/>
          </w:tcPr>
          <w:p w14:paraId="09DDCBE0" w14:textId="77777777" w:rsidR="00BB37AE" w:rsidRPr="00773C6D" w:rsidRDefault="00BB37AE" w:rsidP="00BB37AE">
            <w:pPr>
              <w:tabs>
                <w:tab w:val="center" w:pos="4153"/>
                <w:tab w:val="right" w:pos="8306"/>
              </w:tabs>
              <w:rPr>
                <w:b/>
                <w:sz w:val="16"/>
                <w:szCs w:val="16"/>
              </w:rPr>
            </w:pPr>
            <w:r w:rsidRPr="00727A3D">
              <w:rPr>
                <w:b/>
              </w:rPr>
              <w:t>National Indicator</w:t>
            </w:r>
          </w:p>
        </w:tc>
        <w:tc>
          <w:tcPr>
            <w:tcW w:w="2693" w:type="dxa"/>
            <w:tcBorders>
              <w:bottom w:val="single" w:sz="4" w:space="0" w:color="auto"/>
            </w:tcBorders>
            <w:shd w:val="clear" w:color="auto" w:fill="BFBFBF" w:themeFill="background1" w:themeFillShade="BF"/>
          </w:tcPr>
          <w:p w14:paraId="1CE2F3BE" w14:textId="2B25FDE9" w:rsidR="00BB37AE" w:rsidRDefault="00BB37AE" w:rsidP="00BB37AE">
            <w:pPr>
              <w:rPr>
                <w:noProof/>
              </w:rPr>
            </w:pPr>
            <w:r w:rsidRPr="00727A3D">
              <w:rPr>
                <w:b/>
              </w:rPr>
              <w:t>Difference From 1</w:t>
            </w:r>
            <w:r w:rsidR="00A80B63">
              <w:rPr>
                <w:b/>
              </w:rPr>
              <w:t>8/19</w:t>
            </w:r>
            <w:r w:rsidRPr="00727A3D">
              <w:rPr>
                <w:b/>
              </w:rPr>
              <w:t xml:space="preserve"> Baseline</w:t>
            </w:r>
          </w:p>
        </w:tc>
        <w:tc>
          <w:tcPr>
            <w:tcW w:w="3686" w:type="dxa"/>
            <w:tcBorders>
              <w:bottom w:val="single" w:sz="4" w:space="0" w:color="auto"/>
            </w:tcBorders>
            <w:shd w:val="clear" w:color="auto" w:fill="BFBFBF" w:themeFill="background1" w:themeFillShade="BF"/>
          </w:tcPr>
          <w:p w14:paraId="49AD8FAC" w14:textId="02A815C7" w:rsidR="00BB37AE" w:rsidRDefault="00BB37AE" w:rsidP="00BB37AE">
            <w:pPr>
              <w:rPr>
                <w:noProof/>
              </w:rPr>
            </w:pPr>
            <w:r>
              <w:rPr>
                <w:b/>
              </w:rPr>
              <w:t xml:space="preserve">Dundee </w:t>
            </w:r>
            <w:r w:rsidRPr="00727A3D">
              <w:rPr>
                <w:b/>
              </w:rPr>
              <w:t>Short Term Trend (last 4 quarters)</w:t>
            </w:r>
          </w:p>
        </w:tc>
        <w:tc>
          <w:tcPr>
            <w:tcW w:w="4541" w:type="dxa"/>
            <w:tcBorders>
              <w:bottom w:val="single" w:sz="4" w:space="0" w:color="auto"/>
            </w:tcBorders>
            <w:shd w:val="clear" w:color="auto" w:fill="BFBFBF" w:themeFill="background1" w:themeFillShade="BF"/>
          </w:tcPr>
          <w:p w14:paraId="226D968C" w14:textId="21F7651A" w:rsidR="00BB37AE" w:rsidRDefault="00BB37AE" w:rsidP="00BB37AE">
            <w:pPr>
              <w:rPr>
                <w:noProof/>
              </w:rPr>
            </w:pPr>
            <w:r w:rsidRPr="00727A3D">
              <w:rPr>
                <w:b/>
              </w:rPr>
              <w:t>Long Term Trend</w:t>
            </w:r>
          </w:p>
        </w:tc>
        <w:tc>
          <w:tcPr>
            <w:tcW w:w="1276" w:type="dxa"/>
            <w:tcBorders>
              <w:bottom w:val="single" w:sz="4" w:space="0" w:color="auto"/>
            </w:tcBorders>
            <w:shd w:val="clear" w:color="auto" w:fill="BFBFBF" w:themeFill="background1" w:themeFillShade="BF"/>
          </w:tcPr>
          <w:p w14:paraId="61354343" w14:textId="77777777" w:rsidR="00BB37AE" w:rsidRDefault="00BB37AE" w:rsidP="00BB37AE">
            <w:pPr>
              <w:jc w:val="center"/>
              <w:rPr>
                <w:b/>
              </w:rPr>
            </w:pPr>
            <w:r>
              <w:rPr>
                <w:b/>
              </w:rPr>
              <w:t>Scotland Position</w:t>
            </w:r>
          </w:p>
          <w:p w14:paraId="53624957" w14:textId="162D4A88" w:rsidR="00BB37AE" w:rsidRDefault="00BB37AE" w:rsidP="00BB37AE">
            <w:pPr>
              <w:jc w:val="center"/>
            </w:pPr>
            <w:r>
              <w:rPr>
                <w:b/>
              </w:rPr>
              <w:t>1= best, 3</w:t>
            </w:r>
            <w:r w:rsidR="00C976D2">
              <w:rPr>
                <w:b/>
              </w:rPr>
              <w:t>1</w:t>
            </w:r>
            <w:r>
              <w:rPr>
                <w:b/>
              </w:rPr>
              <w:t xml:space="preserve"> = worst</w:t>
            </w:r>
          </w:p>
        </w:tc>
        <w:tc>
          <w:tcPr>
            <w:tcW w:w="1134" w:type="dxa"/>
            <w:tcBorders>
              <w:bottom w:val="single" w:sz="4" w:space="0" w:color="auto"/>
            </w:tcBorders>
            <w:shd w:val="clear" w:color="auto" w:fill="BFBFBF" w:themeFill="background1" w:themeFillShade="BF"/>
          </w:tcPr>
          <w:p w14:paraId="7CA46CF0" w14:textId="77777777" w:rsidR="00BB37AE" w:rsidRDefault="00BB37AE" w:rsidP="00BB37AE">
            <w:pPr>
              <w:jc w:val="center"/>
              <w:rPr>
                <w:b/>
              </w:rPr>
            </w:pPr>
            <w:r w:rsidRPr="00727A3D">
              <w:rPr>
                <w:b/>
              </w:rPr>
              <w:t>Family Group Position</w:t>
            </w:r>
          </w:p>
          <w:p w14:paraId="4AF42753" w14:textId="77777777" w:rsidR="00BB37AE" w:rsidRDefault="00BB37AE" w:rsidP="00BB37AE">
            <w:pPr>
              <w:jc w:val="center"/>
            </w:pPr>
            <w:r>
              <w:rPr>
                <w:b/>
              </w:rPr>
              <w:t>1= best, 8 = worst</w:t>
            </w:r>
          </w:p>
        </w:tc>
        <w:tc>
          <w:tcPr>
            <w:tcW w:w="1134" w:type="dxa"/>
            <w:tcBorders>
              <w:bottom w:val="single" w:sz="4" w:space="0" w:color="auto"/>
            </w:tcBorders>
            <w:shd w:val="clear" w:color="auto" w:fill="BFBFBF" w:themeFill="background1" w:themeFillShade="BF"/>
          </w:tcPr>
          <w:p w14:paraId="139589F9" w14:textId="77777777" w:rsidR="00BB37AE" w:rsidRDefault="00BB37AE" w:rsidP="00BB37AE">
            <w:pPr>
              <w:jc w:val="center"/>
              <w:rPr>
                <w:b/>
              </w:rPr>
            </w:pPr>
            <w:r w:rsidRPr="00727A3D">
              <w:rPr>
                <w:b/>
              </w:rPr>
              <w:t>Tayside Group Position</w:t>
            </w:r>
          </w:p>
          <w:p w14:paraId="6ADAE1BB" w14:textId="77777777" w:rsidR="00BB37AE" w:rsidRDefault="00BB37AE" w:rsidP="00BB37AE">
            <w:pPr>
              <w:jc w:val="center"/>
            </w:pPr>
            <w:r>
              <w:rPr>
                <w:b/>
              </w:rPr>
              <w:t>1= best, 3 = worst</w:t>
            </w:r>
          </w:p>
        </w:tc>
      </w:tr>
      <w:tr w:rsidR="00AB0365" w14:paraId="00F79C94" w14:textId="77777777" w:rsidTr="00085203">
        <w:trPr>
          <w:trHeight w:val="2686"/>
          <w:jc w:val="center"/>
        </w:trPr>
        <w:tc>
          <w:tcPr>
            <w:tcW w:w="1980" w:type="dxa"/>
            <w:tcBorders>
              <w:bottom w:val="single" w:sz="4" w:space="0" w:color="auto"/>
            </w:tcBorders>
          </w:tcPr>
          <w:p w14:paraId="6C50AD69" w14:textId="77777777" w:rsidR="00BB37AE" w:rsidRPr="00CB348A" w:rsidRDefault="00BB37AE" w:rsidP="00BB37AE">
            <w:pPr>
              <w:tabs>
                <w:tab w:val="center" w:pos="4153"/>
                <w:tab w:val="right" w:pos="8306"/>
              </w:tabs>
              <w:rPr>
                <w:b/>
              </w:rPr>
            </w:pPr>
            <w:r w:rsidRPr="0091398E">
              <w:rPr>
                <w:b/>
              </w:rPr>
              <w:t>12. Emer Admissions rate per 100,000 18+</w:t>
            </w:r>
          </w:p>
          <w:p w14:paraId="6E197341" w14:textId="77777777" w:rsidR="00BB37AE" w:rsidRDefault="00BB37AE" w:rsidP="00BB37AE"/>
        </w:tc>
        <w:tc>
          <w:tcPr>
            <w:tcW w:w="2693" w:type="dxa"/>
            <w:tcBorders>
              <w:bottom w:val="single" w:sz="4" w:space="0" w:color="auto"/>
            </w:tcBorders>
          </w:tcPr>
          <w:p w14:paraId="1007AD6A" w14:textId="0516D944" w:rsidR="007F4289" w:rsidRPr="00A80B63" w:rsidRDefault="0019346A" w:rsidP="00BB37AE">
            <w:pPr>
              <w:rPr>
                <w:noProof/>
                <w:sz w:val="16"/>
                <w:szCs w:val="16"/>
              </w:rPr>
            </w:pPr>
            <w:r>
              <w:rPr>
                <w:noProof/>
              </w:rPr>
              <w:drawing>
                <wp:anchor distT="0" distB="0" distL="114300" distR="114300" simplePos="0" relativeHeight="251658248" behindDoc="0" locked="0" layoutInCell="1" allowOverlap="1" wp14:anchorId="76B58FFC" wp14:editId="766F490F">
                  <wp:simplePos x="0" y="0"/>
                  <wp:positionH relativeFrom="column">
                    <wp:posOffset>-65405</wp:posOffset>
                  </wp:positionH>
                  <wp:positionV relativeFrom="paragraph">
                    <wp:posOffset>80645</wp:posOffset>
                  </wp:positionV>
                  <wp:extent cx="1765300" cy="1657350"/>
                  <wp:effectExtent l="0" t="0" r="6350" b="0"/>
                  <wp:wrapSquare wrapText="bothSides"/>
                  <wp:docPr id="1733364046" name="Chart 1">
                    <a:extLst xmlns:a="http://schemas.openxmlformats.org/drawingml/2006/main">
                      <a:ext uri="{FF2B5EF4-FFF2-40B4-BE49-F238E27FC236}">
                        <a16:creationId xmlns:a16="http://schemas.microsoft.com/office/drawing/2014/main" id="{4CC0E491-37B6-4BAD-AEF7-F4259E6692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76A9320B" w14:textId="4CC9DDE0" w:rsidR="00BB37AE" w:rsidRPr="000E206A" w:rsidRDefault="3EA7556B" w:rsidP="00AA2466">
            <w:r>
              <w:t>The</w:t>
            </w:r>
            <w:r w:rsidR="44896A9B">
              <w:t>re was</w:t>
            </w:r>
            <w:r w:rsidR="000E206A">
              <w:t xml:space="preserve"> </w:t>
            </w:r>
            <w:r w:rsidR="44896A9B">
              <w:t xml:space="preserve">an increase in the </w:t>
            </w:r>
            <w:r w:rsidR="000272C7">
              <w:t xml:space="preserve">emergency </w:t>
            </w:r>
            <w:r w:rsidR="000E206A">
              <w:t xml:space="preserve">admissions </w:t>
            </w:r>
            <w:r w:rsidR="53923928">
              <w:t>rate by</w:t>
            </w:r>
            <w:r w:rsidR="000E206A">
              <w:t xml:space="preserve"> 1</w:t>
            </w:r>
            <w:r w:rsidR="00AA75F5">
              <w:t>4</w:t>
            </w:r>
            <w:r w:rsidR="000E206A">
              <w:t xml:space="preserve">% </w:t>
            </w:r>
            <w:r w:rsidR="0AA57613">
              <w:t>between 2018-19 and</w:t>
            </w:r>
            <w:r w:rsidR="000E206A">
              <w:t xml:space="preserve"> Q</w:t>
            </w:r>
            <w:r w:rsidR="00AA75F5">
              <w:t>4</w:t>
            </w:r>
            <w:r w:rsidR="000E206A">
              <w:t xml:space="preserve"> 23-24</w:t>
            </w:r>
            <w:r w:rsidR="028038A9">
              <w:t>.</w:t>
            </w:r>
            <w:r w:rsidR="000E206A">
              <w:t xml:space="preserve"> This equates to an increase of </w:t>
            </w:r>
            <w:r w:rsidR="00E2124B">
              <w:t>2,042</w:t>
            </w:r>
            <w:r w:rsidR="00AA2466">
              <w:t xml:space="preserve"> emergency</w:t>
            </w:r>
            <w:r w:rsidR="000E206A">
              <w:t xml:space="preserve"> admissions</w:t>
            </w:r>
            <w:r w:rsidR="00DA2723">
              <w:t xml:space="preserve"> (deterioration)</w:t>
            </w:r>
            <w:r w:rsidR="000E206A">
              <w:t xml:space="preserve">. </w:t>
            </w:r>
            <w:r w:rsidR="00DA2723" w:rsidRPr="0842DDBE">
              <w:rPr>
                <w:noProof/>
              </w:rPr>
              <w:t>(source: NHST BSU)</w:t>
            </w:r>
          </w:p>
        </w:tc>
        <w:tc>
          <w:tcPr>
            <w:tcW w:w="3686" w:type="dxa"/>
            <w:tcBorders>
              <w:bottom w:val="single" w:sz="4" w:space="0" w:color="auto"/>
            </w:tcBorders>
          </w:tcPr>
          <w:p w14:paraId="11CD633C" w14:textId="4D37A902" w:rsidR="00662B53" w:rsidRDefault="00662B53" w:rsidP="00BB37AE">
            <w:pPr>
              <w:rPr>
                <w:noProof/>
              </w:rPr>
            </w:pPr>
          </w:p>
          <w:p w14:paraId="01BA1513" w14:textId="136EF42B" w:rsidR="002F5773" w:rsidRDefault="00836792" w:rsidP="00BB37AE">
            <w:r>
              <w:rPr>
                <w:noProof/>
              </w:rPr>
              <w:drawing>
                <wp:inline distT="0" distB="0" distL="0" distR="0" wp14:anchorId="2299CC2C" wp14:editId="10786960">
                  <wp:extent cx="2203450" cy="1606378"/>
                  <wp:effectExtent l="0" t="0" r="0" b="0"/>
                  <wp:docPr id="1467212748" name="Chart 1">
                    <a:extLst xmlns:a="http://schemas.openxmlformats.org/drawingml/2006/main">
                      <a:ext uri="{FF2B5EF4-FFF2-40B4-BE49-F238E27FC236}">
                        <a16:creationId xmlns:a16="http://schemas.microsoft.com/office/drawing/2014/main" id="{F26C602E-83E1-5AD7-E9D3-815890256A33}"/>
                      </a:ext>
                      <a:ext uri="{147F2762-F138-4A5C-976F-8EAC2B608ADB}">
                        <a16:predDERef xmlns:a16="http://schemas.microsoft.com/office/drawing/2014/main" pred="{AA6DDC0B-0280-4BDC-803C-7A275F507F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C444736" w14:textId="77777777" w:rsidR="002F5773" w:rsidRDefault="002F5773" w:rsidP="00BB37AE"/>
          <w:p w14:paraId="5C760CDF" w14:textId="5B5296C4" w:rsidR="00BB37AE" w:rsidRDefault="1A7DF0FA" w:rsidP="00BB37AE">
            <w:r>
              <w:t>Increasing trend over the last 4 quarters</w:t>
            </w:r>
            <w:r w:rsidR="008112E7">
              <w:t>.</w:t>
            </w:r>
          </w:p>
          <w:p w14:paraId="2455AC5C" w14:textId="79C7F2BA" w:rsidR="00BB37AE" w:rsidRDefault="00BB37AE" w:rsidP="0842DDBE"/>
        </w:tc>
        <w:tc>
          <w:tcPr>
            <w:tcW w:w="4541" w:type="dxa"/>
            <w:tcBorders>
              <w:bottom w:val="single" w:sz="4" w:space="0" w:color="auto"/>
            </w:tcBorders>
          </w:tcPr>
          <w:p w14:paraId="05C1FA2D" w14:textId="03A92778" w:rsidR="00BB37AE" w:rsidRDefault="000065CE" w:rsidP="00BB37AE">
            <w:pPr>
              <w:rPr>
                <w:noProof/>
              </w:rPr>
            </w:pPr>
            <w:r>
              <w:rPr>
                <w:noProof/>
              </w:rPr>
              <w:drawing>
                <wp:anchor distT="0" distB="0" distL="114300" distR="114300" simplePos="0" relativeHeight="251658249" behindDoc="0" locked="0" layoutInCell="1" allowOverlap="1" wp14:anchorId="2D032779" wp14:editId="4C3B4DCA">
                  <wp:simplePos x="0" y="0"/>
                  <wp:positionH relativeFrom="column">
                    <wp:posOffset>-53975</wp:posOffset>
                  </wp:positionH>
                  <wp:positionV relativeFrom="paragraph">
                    <wp:posOffset>61595</wp:posOffset>
                  </wp:positionV>
                  <wp:extent cx="2838450" cy="2314575"/>
                  <wp:effectExtent l="0" t="0" r="0" b="0"/>
                  <wp:wrapSquare wrapText="bothSides"/>
                  <wp:docPr id="1025150237" name="Chart 1">
                    <a:extLst xmlns:a="http://schemas.openxmlformats.org/drawingml/2006/main">
                      <a:ext uri="{FF2B5EF4-FFF2-40B4-BE49-F238E27FC236}">
                        <a16:creationId xmlns:a16="http://schemas.microsoft.com/office/drawing/2014/main" id="{A4D0320F-8DF4-4410-A57C-205A04BE9D08}"/>
                      </a:ext>
                      <a:ext uri="{147F2762-F138-4A5C-976F-8EAC2B608ADB}">
                        <a16:predDERef xmlns:a16="http://schemas.microsoft.com/office/drawing/2014/main" pred="{4CC0E491-37B6-4BAD-AEF7-F4259E6692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1429CF9B" w14:textId="49F2BDDF" w:rsidR="00BB37AE" w:rsidRDefault="00887BBA" w:rsidP="00BB37AE">
            <w:r w:rsidRPr="00554457">
              <w:t xml:space="preserve">Note - </w:t>
            </w:r>
            <w:r w:rsidR="00A80B63" w:rsidRPr="00554457">
              <w:t>Linear (D) is the trendline for Dundee</w:t>
            </w:r>
          </w:p>
          <w:p w14:paraId="236658CB" w14:textId="3662FDA8" w:rsidR="00E27319" w:rsidRDefault="00E27319" w:rsidP="00BB37AE">
            <w:pPr>
              <w:rPr>
                <w:noProof/>
              </w:rPr>
            </w:pPr>
          </w:p>
          <w:p w14:paraId="09A0E3EC" w14:textId="5B9FD5CE" w:rsidR="00BB37AE" w:rsidRDefault="00FA7797" w:rsidP="0842DDBE">
            <w:r>
              <w:rPr>
                <w:noProof/>
              </w:rPr>
              <w:drawing>
                <wp:inline distT="0" distB="0" distL="0" distR="0" wp14:anchorId="18C792EF" wp14:editId="1C46D49E">
                  <wp:extent cx="2746375" cy="2061845"/>
                  <wp:effectExtent l="0" t="0" r="0" b="0"/>
                  <wp:docPr id="1655743271" name="Chart 1">
                    <a:extLst xmlns:a="http://schemas.openxmlformats.org/drawingml/2006/main">
                      <a:ext uri="{FF2B5EF4-FFF2-40B4-BE49-F238E27FC236}">
                        <a16:creationId xmlns:a16="http://schemas.microsoft.com/office/drawing/2014/main" id="{039DD094-FA0E-4D2D-B01D-5A5925EEDC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0E1BB1" w14:textId="6A3E960F" w:rsidR="00BB37AE" w:rsidRDefault="00BB37AE" w:rsidP="0842DDBE"/>
        </w:tc>
        <w:tc>
          <w:tcPr>
            <w:tcW w:w="1276" w:type="dxa"/>
            <w:tcBorders>
              <w:bottom w:val="single" w:sz="4" w:space="0" w:color="auto"/>
            </w:tcBorders>
          </w:tcPr>
          <w:p w14:paraId="609D047E" w14:textId="67D11AF9" w:rsidR="00BB37AE" w:rsidRDefault="008E3727" w:rsidP="00BB37AE">
            <w:pPr>
              <w:jc w:val="center"/>
            </w:pPr>
            <w:r>
              <w:t>2</w:t>
            </w:r>
            <w:r w:rsidR="00B16B09">
              <w:t>8</w:t>
            </w:r>
            <w:r w:rsidR="001F7343">
              <w:t>th</w:t>
            </w:r>
          </w:p>
          <w:p w14:paraId="7107F06B" w14:textId="77777777" w:rsidR="00AB0365" w:rsidRDefault="00AB0365" w:rsidP="00BB37AE">
            <w:pPr>
              <w:jc w:val="center"/>
            </w:pPr>
          </w:p>
          <w:p w14:paraId="6B780387" w14:textId="77777777" w:rsidR="00AB0365" w:rsidRDefault="00AB0365" w:rsidP="00BB37AE">
            <w:pPr>
              <w:jc w:val="center"/>
            </w:pPr>
          </w:p>
          <w:p w14:paraId="18CFE117" w14:textId="77777777" w:rsidR="00AB0365" w:rsidRDefault="00AB0365" w:rsidP="00BB37AE">
            <w:pPr>
              <w:jc w:val="center"/>
            </w:pPr>
          </w:p>
          <w:p w14:paraId="280DE05D" w14:textId="77777777" w:rsidR="00AB0365" w:rsidRDefault="00AB0365" w:rsidP="00BB37AE">
            <w:pPr>
              <w:jc w:val="center"/>
            </w:pPr>
          </w:p>
          <w:p w14:paraId="3D6842E7" w14:textId="77777777" w:rsidR="00AB0365" w:rsidRDefault="00AB0365" w:rsidP="00BB37AE">
            <w:pPr>
              <w:jc w:val="center"/>
            </w:pPr>
          </w:p>
          <w:p w14:paraId="74D02F56" w14:textId="77777777" w:rsidR="00AB0365" w:rsidRDefault="00AB0365" w:rsidP="00BB37AE">
            <w:pPr>
              <w:jc w:val="center"/>
            </w:pPr>
          </w:p>
          <w:p w14:paraId="4368674E" w14:textId="77777777" w:rsidR="00AB0365" w:rsidRDefault="00AB0365" w:rsidP="00BB37AE">
            <w:pPr>
              <w:jc w:val="center"/>
            </w:pPr>
          </w:p>
          <w:p w14:paraId="6ECBB00E" w14:textId="77777777" w:rsidR="00AB0365" w:rsidRDefault="00AB0365" w:rsidP="00BB37AE">
            <w:pPr>
              <w:jc w:val="center"/>
            </w:pPr>
          </w:p>
          <w:p w14:paraId="5AD3FCE4" w14:textId="77777777" w:rsidR="00AB0365" w:rsidRDefault="00AB0365" w:rsidP="00BB37AE">
            <w:pPr>
              <w:jc w:val="center"/>
            </w:pPr>
          </w:p>
          <w:p w14:paraId="4A6CAC02" w14:textId="77777777" w:rsidR="00AB0365" w:rsidRDefault="00AB0365" w:rsidP="00BB37AE">
            <w:pPr>
              <w:jc w:val="center"/>
            </w:pPr>
          </w:p>
          <w:p w14:paraId="6396E6EB" w14:textId="77777777" w:rsidR="00AB0365" w:rsidRDefault="00AB0365" w:rsidP="00BB37AE">
            <w:pPr>
              <w:jc w:val="center"/>
            </w:pPr>
          </w:p>
          <w:p w14:paraId="566FD1B4" w14:textId="77777777" w:rsidR="00AB0365" w:rsidRDefault="00AB0365" w:rsidP="00BB37AE">
            <w:pPr>
              <w:jc w:val="center"/>
            </w:pPr>
          </w:p>
          <w:p w14:paraId="3DD77382" w14:textId="77777777" w:rsidR="00AB0365" w:rsidRDefault="00AB0365" w:rsidP="00BB37AE">
            <w:pPr>
              <w:jc w:val="center"/>
            </w:pPr>
          </w:p>
          <w:p w14:paraId="2DC4669E" w14:textId="77777777" w:rsidR="00AB0365" w:rsidRDefault="00AB0365" w:rsidP="00BB37AE">
            <w:pPr>
              <w:jc w:val="center"/>
            </w:pPr>
          </w:p>
          <w:p w14:paraId="67E4E500" w14:textId="77777777" w:rsidR="00AB0365" w:rsidRDefault="00AB0365" w:rsidP="00BB37AE">
            <w:pPr>
              <w:jc w:val="center"/>
            </w:pPr>
          </w:p>
          <w:p w14:paraId="43C7F567" w14:textId="77777777" w:rsidR="00AB0365" w:rsidRDefault="00AB0365" w:rsidP="00BB37AE">
            <w:pPr>
              <w:jc w:val="center"/>
            </w:pPr>
          </w:p>
          <w:p w14:paraId="4C669CE1" w14:textId="77777777" w:rsidR="00AB0365" w:rsidRDefault="00AB0365" w:rsidP="00BB37AE">
            <w:pPr>
              <w:jc w:val="center"/>
            </w:pPr>
          </w:p>
          <w:p w14:paraId="04E318DE" w14:textId="77777777" w:rsidR="00AB0365" w:rsidRDefault="00AB0365" w:rsidP="00BB37AE">
            <w:pPr>
              <w:jc w:val="center"/>
            </w:pPr>
          </w:p>
          <w:p w14:paraId="327B45BE" w14:textId="77777777" w:rsidR="00AB0365" w:rsidRDefault="00AB0365" w:rsidP="00BB37AE">
            <w:pPr>
              <w:jc w:val="center"/>
            </w:pPr>
          </w:p>
          <w:p w14:paraId="370375E7" w14:textId="77777777" w:rsidR="00AB0365" w:rsidRDefault="00AB0365" w:rsidP="00BB37AE">
            <w:pPr>
              <w:jc w:val="center"/>
            </w:pPr>
          </w:p>
          <w:p w14:paraId="11101D51" w14:textId="77777777" w:rsidR="00AB0365" w:rsidRDefault="00AB0365" w:rsidP="00BB37AE">
            <w:pPr>
              <w:jc w:val="center"/>
            </w:pPr>
          </w:p>
          <w:p w14:paraId="10C6D591" w14:textId="77777777" w:rsidR="00AB0365" w:rsidRDefault="00AB0365" w:rsidP="00BB37AE">
            <w:pPr>
              <w:jc w:val="center"/>
            </w:pPr>
          </w:p>
          <w:p w14:paraId="77EA5E72" w14:textId="77777777" w:rsidR="00AB0365" w:rsidRDefault="00AB0365" w:rsidP="00BB37AE">
            <w:pPr>
              <w:jc w:val="center"/>
            </w:pPr>
          </w:p>
          <w:p w14:paraId="3B215F03" w14:textId="77777777" w:rsidR="00AB0365" w:rsidRDefault="00AB0365" w:rsidP="00BB37AE">
            <w:pPr>
              <w:jc w:val="center"/>
            </w:pPr>
          </w:p>
          <w:p w14:paraId="59FFAAFE" w14:textId="77777777" w:rsidR="00AB0365" w:rsidRDefault="00AB0365" w:rsidP="00BB37AE">
            <w:pPr>
              <w:jc w:val="center"/>
            </w:pPr>
          </w:p>
          <w:p w14:paraId="4EB541BD" w14:textId="77777777" w:rsidR="00AB0365" w:rsidRDefault="00AB0365" w:rsidP="00BB37AE">
            <w:pPr>
              <w:jc w:val="center"/>
            </w:pPr>
          </w:p>
          <w:p w14:paraId="30299959" w14:textId="77777777" w:rsidR="00AB0365" w:rsidRDefault="00AB0365" w:rsidP="00BB37AE">
            <w:pPr>
              <w:jc w:val="center"/>
            </w:pPr>
          </w:p>
          <w:p w14:paraId="6F49197C" w14:textId="1AA7BDD0" w:rsidR="00AB0365" w:rsidRDefault="00AB0365" w:rsidP="00BB37AE">
            <w:pPr>
              <w:jc w:val="center"/>
            </w:pPr>
          </w:p>
        </w:tc>
        <w:tc>
          <w:tcPr>
            <w:tcW w:w="1134" w:type="dxa"/>
            <w:tcBorders>
              <w:bottom w:val="single" w:sz="4" w:space="0" w:color="auto"/>
            </w:tcBorders>
          </w:tcPr>
          <w:p w14:paraId="62638F20" w14:textId="3A4E45DD" w:rsidR="00BB37AE" w:rsidRDefault="00B16B09" w:rsidP="00BB37AE">
            <w:pPr>
              <w:jc w:val="center"/>
            </w:pPr>
            <w:r>
              <w:t>7</w:t>
            </w:r>
            <w:r w:rsidR="001F7343">
              <w:t>th</w:t>
            </w:r>
          </w:p>
        </w:tc>
        <w:tc>
          <w:tcPr>
            <w:tcW w:w="1134" w:type="dxa"/>
            <w:tcBorders>
              <w:bottom w:val="single" w:sz="4" w:space="0" w:color="auto"/>
            </w:tcBorders>
          </w:tcPr>
          <w:p w14:paraId="207699D1" w14:textId="47A915F8" w:rsidR="00BB37AE" w:rsidRDefault="008E3727" w:rsidP="00BB37AE">
            <w:pPr>
              <w:jc w:val="center"/>
            </w:pPr>
            <w:r>
              <w:t>3rd</w:t>
            </w:r>
          </w:p>
        </w:tc>
      </w:tr>
      <w:tr w:rsidR="00BB37AE" w14:paraId="06780DAE" w14:textId="77777777" w:rsidTr="00085203">
        <w:trPr>
          <w:trHeight w:val="1134"/>
          <w:jc w:val="center"/>
        </w:trPr>
        <w:tc>
          <w:tcPr>
            <w:tcW w:w="1980" w:type="dxa"/>
            <w:shd w:val="clear" w:color="auto" w:fill="BFBFBF" w:themeFill="background1" w:themeFillShade="BF"/>
          </w:tcPr>
          <w:p w14:paraId="363E8F57" w14:textId="77777777" w:rsidR="00BB37AE" w:rsidRDefault="00BB37AE" w:rsidP="00BB37AE">
            <w:pPr>
              <w:tabs>
                <w:tab w:val="center" w:pos="4153"/>
                <w:tab w:val="right" w:pos="8306"/>
              </w:tabs>
              <w:rPr>
                <w:b/>
              </w:rPr>
            </w:pPr>
            <w:r w:rsidRPr="00727A3D">
              <w:rPr>
                <w:b/>
              </w:rPr>
              <w:t>National Indicator</w:t>
            </w:r>
          </w:p>
        </w:tc>
        <w:tc>
          <w:tcPr>
            <w:tcW w:w="2693" w:type="dxa"/>
            <w:shd w:val="clear" w:color="auto" w:fill="BFBFBF" w:themeFill="background1" w:themeFillShade="BF"/>
          </w:tcPr>
          <w:p w14:paraId="190DD194" w14:textId="057713CA" w:rsidR="00BB37AE" w:rsidRDefault="00BB37AE" w:rsidP="00BB37AE">
            <w:pPr>
              <w:rPr>
                <w:noProof/>
              </w:rPr>
            </w:pPr>
            <w:r w:rsidRPr="00727A3D">
              <w:rPr>
                <w:b/>
              </w:rPr>
              <w:t>Difference From 1</w:t>
            </w:r>
            <w:r w:rsidR="00723311">
              <w:rPr>
                <w:b/>
              </w:rPr>
              <w:t>8-19</w:t>
            </w:r>
            <w:r w:rsidRPr="00727A3D">
              <w:rPr>
                <w:b/>
              </w:rPr>
              <w:t xml:space="preserve"> Baseline</w:t>
            </w:r>
          </w:p>
        </w:tc>
        <w:tc>
          <w:tcPr>
            <w:tcW w:w="3686" w:type="dxa"/>
            <w:shd w:val="clear" w:color="auto" w:fill="BFBFBF" w:themeFill="background1" w:themeFillShade="BF"/>
          </w:tcPr>
          <w:p w14:paraId="422DD8F5" w14:textId="77777777" w:rsidR="00BB37AE" w:rsidRDefault="00BB37AE" w:rsidP="00BB37AE">
            <w:pPr>
              <w:rPr>
                <w:noProof/>
              </w:rPr>
            </w:pPr>
            <w:r>
              <w:rPr>
                <w:b/>
              </w:rPr>
              <w:t xml:space="preserve">Dundee </w:t>
            </w:r>
            <w:r w:rsidRPr="00727A3D">
              <w:rPr>
                <w:b/>
              </w:rPr>
              <w:t>Short Term Trend (last 4 quarters)</w:t>
            </w:r>
          </w:p>
        </w:tc>
        <w:tc>
          <w:tcPr>
            <w:tcW w:w="4541" w:type="dxa"/>
            <w:shd w:val="clear" w:color="auto" w:fill="BFBFBF" w:themeFill="background1" w:themeFillShade="BF"/>
          </w:tcPr>
          <w:p w14:paraId="73E8FFB3" w14:textId="77777777" w:rsidR="00BB37AE" w:rsidRDefault="00BB37AE" w:rsidP="00BB37AE">
            <w:pPr>
              <w:rPr>
                <w:noProof/>
              </w:rPr>
            </w:pPr>
            <w:r w:rsidRPr="00727A3D">
              <w:rPr>
                <w:b/>
              </w:rPr>
              <w:t>Long Term Trend</w:t>
            </w:r>
          </w:p>
        </w:tc>
        <w:tc>
          <w:tcPr>
            <w:tcW w:w="1276" w:type="dxa"/>
            <w:shd w:val="clear" w:color="auto" w:fill="BFBFBF" w:themeFill="background1" w:themeFillShade="BF"/>
          </w:tcPr>
          <w:p w14:paraId="4CA667EB" w14:textId="77777777" w:rsidR="00BB37AE" w:rsidRDefault="00BB37AE" w:rsidP="00BB37AE">
            <w:pPr>
              <w:jc w:val="center"/>
              <w:rPr>
                <w:b/>
              </w:rPr>
            </w:pPr>
            <w:r>
              <w:rPr>
                <w:b/>
              </w:rPr>
              <w:t>Scotland Position</w:t>
            </w:r>
          </w:p>
          <w:p w14:paraId="26ED7FCF" w14:textId="6D05FD29" w:rsidR="00BB37AE" w:rsidRPr="00727A3D" w:rsidRDefault="00BB37AE" w:rsidP="00BB37AE">
            <w:pPr>
              <w:jc w:val="center"/>
              <w:rPr>
                <w:b/>
              </w:rPr>
            </w:pPr>
            <w:r>
              <w:rPr>
                <w:b/>
              </w:rPr>
              <w:t>1= best, 3</w:t>
            </w:r>
            <w:r w:rsidR="00C976D2">
              <w:rPr>
                <w:b/>
              </w:rPr>
              <w:t>1</w:t>
            </w:r>
            <w:r>
              <w:rPr>
                <w:b/>
              </w:rPr>
              <w:t xml:space="preserve"> = worst</w:t>
            </w:r>
          </w:p>
        </w:tc>
        <w:tc>
          <w:tcPr>
            <w:tcW w:w="1134" w:type="dxa"/>
            <w:shd w:val="clear" w:color="auto" w:fill="BFBFBF" w:themeFill="background1" w:themeFillShade="BF"/>
          </w:tcPr>
          <w:p w14:paraId="004CEF16" w14:textId="77777777" w:rsidR="00BB37AE" w:rsidRDefault="00BB37AE" w:rsidP="00BB37AE">
            <w:pPr>
              <w:jc w:val="center"/>
              <w:rPr>
                <w:b/>
              </w:rPr>
            </w:pPr>
            <w:r w:rsidRPr="00727A3D">
              <w:rPr>
                <w:b/>
              </w:rPr>
              <w:t>Family Group Position</w:t>
            </w:r>
          </w:p>
          <w:p w14:paraId="227CCC07" w14:textId="77777777" w:rsidR="00BB37AE" w:rsidRDefault="00BB37AE" w:rsidP="00BB37AE">
            <w:r>
              <w:rPr>
                <w:b/>
              </w:rPr>
              <w:t>1= best, 8 = worst</w:t>
            </w:r>
          </w:p>
        </w:tc>
        <w:tc>
          <w:tcPr>
            <w:tcW w:w="1134" w:type="dxa"/>
            <w:shd w:val="clear" w:color="auto" w:fill="BFBFBF" w:themeFill="background1" w:themeFillShade="BF"/>
          </w:tcPr>
          <w:p w14:paraId="28ABE264" w14:textId="77777777" w:rsidR="00BB37AE" w:rsidRDefault="00BB37AE" w:rsidP="00BB37AE">
            <w:pPr>
              <w:jc w:val="center"/>
              <w:rPr>
                <w:b/>
              </w:rPr>
            </w:pPr>
            <w:r w:rsidRPr="00727A3D">
              <w:rPr>
                <w:b/>
              </w:rPr>
              <w:t>Tayside Group Position</w:t>
            </w:r>
          </w:p>
          <w:p w14:paraId="6518E0E1" w14:textId="77777777" w:rsidR="00BB37AE" w:rsidRDefault="00BB37AE" w:rsidP="00BB37AE">
            <w:r>
              <w:rPr>
                <w:b/>
              </w:rPr>
              <w:t>1= best, 3 = worst</w:t>
            </w:r>
          </w:p>
        </w:tc>
      </w:tr>
      <w:tr w:rsidR="00BB37AE" w14:paraId="4BD730C3" w14:textId="77777777" w:rsidTr="00085203">
        <w:trPr>
          <w:trHeight w:val="2815"/>
          <w:jc w:val="center"/>
        </w:trPr>
        <w:tc>
          <w:tcPr>
            <w:tcW w:w="1980" w:type="dxa"/>
            <w:tcBorders>
              <w:bottom w:val="single" w:sz="4" w:space="0" w:color="auto"/>
            </w:tcBorders>
          </w:tcPr>
          <w:p w14:paraId="46B17BF1" w14:textId="77777777" w:rsidR="00BB37AE" w:rsidRDefault="00BB37AE" w:rsidP="00BB37AE">
            <w:pPr>
              <w:tabs>
                <w:tab w:val="center" w:pos="4153"/>
                <w:tab w:val="right" w:pos="8306"/>
              </w:tabs>
              <w:rPr>
                <w:b/>
              </w:rPr>
            </w:pPr>
            <w:r w:rsidRPr="0091398E">
              <w:rPr>
                <w:rFonts w:cs="Arial"/>
                <w:color w:val="000000"/>
              </w:rPr>
              <w:t>Emergency Admissions Numbers from A&amp;E (MSG)</w:t>
            </w:r>
          </w:p>
        </w:tc>
        <w:tc>
          <w:tcPr>
            <w:tcW w:w="2693" w:type="dxa"/>
            <w:tcBorders>
              <w:bottom w:val="single" w:sz="4" w:space="0" w:color="auto"/>
            </w:tcBorders>
          </w:tcPr>
          <w:p w14:paraId="21EC9B14" w14:textId="27F3B834" w:rsidR="00BB37AE" w:rsidRDefault="0076565F" w:rsidP="00BB37AE">
            <w:pPr>
              <w:rPr>
                <w:noProof/>
              </w:rPr>
            </w:pPr>
            <w:r>
              <w:rPr>
                <w:noProof/>
              </w:rPr>
              <w:t>1013</w:t>
            </w:r>
            <w:r w:rsidR="794B6F45" w:rsidRPr="0842DDBE">
              <w:rPr>
                <w:noProof/>
              </w:rPr>
              <w:t xml:space="preserve"> </w:t>
            </w:r>
            <w:r w:rsidR="16AE024B" w:rsidRPr="0842DDBE">
              <w:rPr>
                <w:noProof/>
              </w:rPr>
              <w:t xml:space="preserve">more </w:t>
            </w:r>
            <w:r w:rsidR="00DF4DB1">
              <w:rPr>
                <w:noProof/>
              </w:rPr>
              <w:t>emergency admissions from A+E</w:t>
            </w:r>
            <w:r w:rsidR="16AE024B" w:rsidRPr="0842DDBE">
              <w:rPr>
                <w:noProof/>
              </w:rPr>
              <w:t xml:space="preserve"> in </w:t>
            </w:r>
            <w:r w:rsidR="794B6F45" w:rsidRPr="0842DDBE">
              <w:rPr>
                <w:noProof/>
              </w:rPr>
              <w:t>Q</w:t>
            </w:r>
            <w:r>
              <w:rPr>
                <w:noProof/>
              </w:rPr>
              <w:t>4</w:t>
            </w:r>
            <w:r w:rsidR="00845089">
              <w:rPr>
                <w:noProof/>
              </w:rPr>
              <w:t xml:space="preserve"> </w:t>
            </w:r>
            <w:r w:rsidR="16AE024B" w:rsidRPr="0842DDBE">
              <w:rPr>
                <w:noProof/>
              </w:rPr>
              <w:t>2</w:t>
            </w:r>
            <w:r w:rsidR="1EB4C207" w:rsidRPr="0842DDBE">
              <w:rPr>
                <w:noProof/>
              </w:rPr>
              <w:t>3/24</w:t>
            </w:r>
            <w:r w:rsidR="16AE024B" w:rsidRPr="0842DDBE">
              <w:rPr>
                <w:noProof/>
              </w:rPr>
              <w:t xml:space="preserve"> </w:t>
            </w:r>
            <w:r w:rsidR="64792C30" w:rsidRPr="0842DDBE">
              <w:rPr>
                <w:noProof/>
              </w:rPr>
              <w:t xml:space="preserve"> </w:t>
            </w:r>
            <w:r w:rsidR="16AE024B" w:rsidRPr="0842DDBE">
              <w:rPr>
                <w:noProof/>
              </w:rPr>
              <w:t>than 201</w:t>
            </w:r>
            <w:r w:rsidR="1EB4C207" w:rsidRPr="0842DDBE">
              <w:rPr>
                <w:noProof/>
              </w:rPr>
              <w:t xml:space="preserve">8/19. </w:t>
            </w:r>
          </w:p>
        </w:tc>
        <w:tc>
          <w:tcPr>
            <w:tcW w:w="3686" w:type="dxa"/>
            <w:tcBorders>
              <w:bottom w:val="single" w:sz="4" w:space="0" w:color="auto"/>
            </w:tcBorders>
          </w:tcPr>
          <w:p w14:paraId="7C071573" w14:textId="28A8A62F" w:rsidR="000D272B" w:rsidRDefault="00845089" w:rsidP="0842DDBE">
            <w:pPr>
              <w:rPr>
                <w:noProof/>
              </w:rPr>
            </w:pPr>
            <w:r>
              <w:rPr>
                <w:noProof/>
              </w:rPr>
              <w:drawing>
                <wp:inline distT="0" distB="0" distL="0" distR="0" wp14:anchorId="68FC2187" wp14:editId="766DE38C">
                  <wp:extent cx="2203450" cy="1663065"/>
                  <wp:effectExtent l="0" t="0" r="6350" b="0"/>
                  <wp:docPr id="1247491111" name="Chart 1">
                    <a:extLst xmlns:a="http://schemas.openxmlformats.org/drawingml/2006/main">
                      <a:ext uri="{FF2B5EF4-FFF2-40B4-BE49-F238E27FC236}">
                        <a16:creationId xmlns:a16="http://schemas.microsoft.com/office/drawing/2014/main" id="{46F5BE57-8C13-485F-AD01-84C0A5CC6F7E}"/>
                      </a:ext>
                      <a:ext uri="{147F2762-F138-4A5C-976F-8EAC2B608ADB}">
                        <a16:predDERef xmlns:a16="http://schemas.microsoft.com/office/drawing/2014/main" pred="{51883780-4850-43AC-BDD9-D677C978BA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D060F88" w14:textId="0A6EBDDD" w:rsidR="00BB37AE" w:rsidRDefault="7663E9C1" w:rsidP="0842DDBE">
            <w:r w:rsidRPr="0842DDBE">
              <w:rPr>
                <w:noProof/>
              </w:rPr>
              <w:t>A</w:t>
            </w:r>
            <w:r w:rsidR="0093486D">
              <w:rPr>
                <w:noProof/>
              </w:rPr>
              <w:t>n</w:t>
            </w:r>
            <w:r w:rsidRPr="0842DDBE">
              <w:rPr>
                <w:noProof/>
              </w:rPr>
              <w:t xml:space="preserve"> </w:t>
            </w:r>
            <w:r w:rsidR="0093486D">
              <w:rPr>
                <w:noProof/>
              </w:rPr>
              <w:t>in</w:t>
            </w:r>
            <w:r w:rsidRPr="0842DDBE">
              <w:rPr>
                <w:noProof/>
              </w:rPr>
              <w:t>crease from last quarter</w:t>
            </w:r>
            <w:r w:rsidR="008112E7">
              <w:rPr>
                <w:noProof/>
              </w:rPr>
              <w:t>.</w:t>
            </w:r>
          </w:p>
        </w:tc>
        <w:tc>
          <w:tcPr>
            <w:tcW w:w="4541" w:type="dxa"/>
            <w:tcBorders>
              <w:bottom w:val="single" w:sz="4" w:space="0" w:color="auto"/>
            </w:tcBorders>
          </w:tcPr>
          <w:p w14:paraId="2B127109" w14:textId="00677A2F" w:rsidR="00DB5FF9" w:rsidRDefault="00BC710B" w:rsidP="005C500F">
            <w:r>
              <w:rPr>
                <w:noProof/>
              </w:rPr>
              <w:drawing>
                <wp:inline distT="0" distB="0" distL="0" distR="0" wp14:anchorId="1CC71BF1" wp14:editId="19E19788">
                  <wp:extent cx="2746375" cy="1769110"/>
                  <wp:effectExtent l="0" t="0" r="0" b="2540"/>
                  <wp:docPr id="520269387" name="Chart 1">
                    <a:extLst xmlns:a="http://schemas.openxmlformats.org/drawingml/2006/main">
                      <a:ext uri="{FF2B5EF4-FFF2-40B4-BE49-F238E27FC236}">
                        <a16:creationId xmlns:a16="http://schemas.microsoft.com/office/drawing/2014/main" id="{51883780-4850-43AC-BDD9-D677C978BA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C8E8FE6" w14:textId="3F220790" w:rsidR="00BB37AE" w:rsidRDefault="00DB5FF9" w:rsidP="005C500F">
            <w:r>
              <w:t>Increase since</w:t>
            </w:r>
            <w:r w:rsidR="005A76AA">
              <w:t xml:space="preserve"> 2020/21</w:t>
            </w:r>
            <w:r w:rsidR="008112E7">
              <w:t>.</w:t>
            </w:r>
          </w:p>
        </w:tc>
        <w:tc>
          <w:tcPr>
            <w:tcW w:w="1276" w:type="dxa"/>
            <w:tcBorders>
              <w:bottom w:val="single" w:sz="4" w:space="0" w:color="auto"/>
            </w:tcBorders>
          </w:tcPr>
          <w:p w14:paraId="44334CF0" w14:textId="49004170" w:rsidR="00BB37AE" w:rsidRDefault="005B5820" w:rsidP="00BB37AE">
            <w:r>
              <w:t>NA as number and not rate</w:t>
            </w:r>
          </w:p>
        </w:tc>
        <w:tc>
          <w:tcPr>
            <w:tcW w:w="1134" w:type="dxa"/>
            <w:tcBorders>
              <w:bottom w:val="single" w:sz="4" w:space="0" w:color="auto"/>
            </w:tcBorders>
          </w:tcPr>
          <w:p w14:paraId="7F1B599E" w14:textId="77777777" w:rsidR="00BB37AE" w:rsidRDefault="00BB37AE" w:rsidP="00BB37AE">
            <w:r>
              <w:t>NA as number and not rate</w:t>
            </w:r>
          </w:p>
        </w:tc>
        <w:tc>
          <w:tcPr>
            <w:tcW w:w="1134" w:type="dxa"/>
            <w:tcBorders>
              <w:bottom w:val="single" w:sz="4" w:space="0" w:color="auto"/>
            </w:tcBorders>
          </w:tcPr>
          <w:p w14:paraId="5749F8B6" w14:textId="77777777" w:rsidR="00BB37AE" w:rsidRDefault="00BB37AE" w:rsidP="00BB37AE">
            <w:r>
              <w:t>NA as number and not rate</w:t>
            </w:r>
          </w:p>
        </w:tc>
      </w:tr>
      <w:tr w:rsidR="00BB37AE" w14:paraId="33F280EA" w14:textId="77777777" w:rsidTr="00085203">
        <w:trPr>
          <w:trHeight w:val="1701"/>
          <w:jc w:val="center"/>
        </w:trPr>
        <w:tc>
          <w:tcPr>
            <w:tcW w:w="1980" w:type="dxa"/>
            <w:tcBorders>
              <w:bottom w:val="single" w:sz="4" w:space="0" w:color="auto"/>
            </w:tcBorders>
          </w:tcPr>
          <w:p w14:paraId="19769018" w14:textId="77777777" w:rsidR="00BB37AE" w:rsidRPr="003060F3" w:rsidRDefault="00BB37AE" w:rsidP="00BB37AE">
            <w:pPr>
              <w:tabs>
                <w:tab w:val="center" w:pos="4153"/>
                <w:tab w:val="right" w:pos="8306"/>
              </w:tabs>
              <w:rPr>
                <w:rFonts w:cs="Arial"/>
                <w:color w:val="000000"/>
              </w:rPr>
            </w:pPr>
            <w:r w:rsidRPr="0091398E">
              <w:rPr>
                <w:rFonts w:cs="Arial"/>
                <w:color w:val="000000"/>
              </w:rPr>
              <w:t>Emergency Admissions as a Rate per 1,000 of all Accident &amp;Emergency Attendances (MSG)</w:t>
            </w:r>
          </w:p>
        </w:tc>
        <w:tc>
          <w:tcPr>
            <w:tcW w:w="2693" w:type="dxa"/>
            <w:tcBorders>
              <w:bottom w:val="single" w:sz="4" w:space="0" w:color="auto"/>
            </w:tcBorders>
          </w:tcPr>
          <w:p w14:paraId="2FAFE68A" w14:textId="20AF5330" w:rsidR="00BB37AE" w:rsidRDefault="7E16840C" w:rsidP="00BB37AE">
            <w:pPr>
              <w:rPr>
                <w:noProof/>
              </w:rPr>
            </w:pPr>
            <w:r w:rsidRPr="0842DDBE">
              <w:rPr>
                <w:noProof/>
              </w:rPr>
              <w:t xml:space="preserve">Rate is </w:t>
            </w:r>
            <w:r w:rsidR="001574A1">
              <w:rPr>
                <w:noProof/>
              </w:rPr>
              <w:t>42</w:t>
            </w:r>
            <w:r w:rsidRPr="0842DDBE">
              <w:rPr>
                <w:noProof/>
              </w:rPr>
              <w:t>(1</w:t>
            </w:r>
            <w:r w:rsidR="003F1E17">
              <w:rPr>
                <w:noProof/>
              </w:rPr>
              <w:t>4</w:t>
            </w:r>
            <w:r w:rsidRPr="0842DDBE">
              <w:rPr>
                <w:noProof/>
              </w:rPr>
              <w:t>%)</w:t>
            </w:r>
            <w:r w:rsidR="16AE024B" w:rsidRPr="0842DDBE">
              <w:rPr>
                <w:noProof/>
              </w:rPr>
              <w:t xml:space="preserve"> higher </w:t>
            </w:r>
            <w:r w:rsidR="003F1E17">
              <w:rPr>
                <w:noProof/>
              </w:rPr>
              <w:t xml:space="preserve">in </w:t>
            </w:r>
            <w:r w:rsidR="50400546" w:rsidRPr="0842DDBE">
              <w:rPr>
                <w:noProof/>
              </w:rPr>
              <w:t xml:space="preserve"> 202</w:t>
            </w:r>
            <w:r w:rsidR="3C25A8A2" w:rsidRPr="0842DDBE">
              <w:rPr>
                <w:noProof/>
              </w:rPr>
              <w:t xml:space="preserve">3/24 </w:t>
            </w:r>
            <w:r w:rsidR="16AE024B" w:rsidRPr="0842DDBE">
              <w:rPr>
                <w:noProof/>
              </w:rPr>
              <w:t>than 201</w:t>
            </w:r>
            <w:r w:rsidR="3C25A8A2" w:rsidRPr="0842DDBE">
              <w:rPr>
                <w:noProof/>
              </w:rPr>
              <w:t>8/19</w:t>
            </w:r>
            <w:r w:rsidRPr="0842DDBE">
              <w:rPr>
                <w:noProof/>
              </w:rPr>
              <w:t>.</w:t>
            </w:r>
          </w:p>
          <w:p w14:paraId="58F1DC04" w14:textId="77777777" w:rsidR="005B5820" w:rsidRDefault="005B5820" w:rsidP="00BB37AE">
            <w:pPr>
              <w:rPr>
                <w:noProof/>
              </w:rPr>
            </w:pPr>
          </w:p>
          <w:p w14:paraId="77D46C9D" w14:textId="77777777" w:rsidR="005B5820" w:rsidRDefault="005B5820" w:rsidP="00BB37AE">
            <w:pPr>
              <w:rPr>
                <w:noProof/>
              </w:rPr>
            </w:pPr>
          </w:p>
          <w:p w14:paraId="5E858887" w14:textId="77777777" w:rsidR="005B5820" w:rsidRDefault="005B5820" w:rsidP="00BB37AE">
            <w:pPr>
              <w:rPr>
                <w:noProof/>
              </w:rPr>
            </w:pPr>
          </w:p>
          <w:p w14:paraId="24C0CC63" w14:textId="77777777" w:rsidR="005B5820" w:rsidRDefault="005B5820" w:rsidP="00BB37AE">
            <w:pPr>
              <w:rPr>
                <w:noProof/>
              </w:rPr>
            </w:pPr>
          </w:p>
          <w:p w14:paraId="719E8424" w14:textId="77777777" w:rsidR="005B5820" w:rsidRDefault="005B5820" w:rsidP="00BB37AE">
            <w:pPr>
              <w:rPr>
                <w:noProof/>
              </w:rPr>
            </w:pPr>
          </w:p>
          <w:p w14:paraId="6301A43F" w14:textId="77777777" w:rsidR="005B5820" w:rsidRDefault="005B5820" w:rsidP="00BB37AE">
            <w:pPr>
              <w:rPr>
                <w:noProof/>
              </w:rPr>
            </w:pPr>
          </w:p>
          <w:p w14:paraId="11A95F94" w14:textId="77777777" w:rsidR="005B5820" w:rsidRDefault="005B5820" w:rsidP="00BB37AE">
            <w:pPr>
              <w:rPr>
                <w:noProof/>
              </w:rPr>
            </w:pPr>
          </w:p>
          <w:p w14:paraId="702C3A56" w14:textId="77777777" w:rsidR="005B5820" w:rsidRDefault="005B5820" w:rsidP="00BB37AE">
            <w:pPr>
              <w:rPr>
                <w:noProof/>
              </w:rPr>
            </w:pPr>
          </w:p>
          <w:p w14:paraId="49CE933A" w14:textId="77777777" w:rsidR="005B5820" w:rsidRDefault="005B5820" w:rsidP="00BB37AE">
            <w:pPr>
              <w:rPr>
                <w:noProof/>
              </w:rPr>
            </w:pPr>
          </w:p>
          <w:p w14:paraId="4A00293E" w14:textId="77777777" w:rsidR="005B5820" w:rsidRDefault="005B5820" w:rsidP="00BB37AE">
            <w:pPr>
              <w:rPr>
                <w:noProof/>
              </w:rPr>
            </w:pPr>
          </w:p>
          <w:p w14:paraId="7482A7BB" w14:textId="48B8E298" w:rsidR="005B5820" w:rsidRDefault="005B5820" w:rsidP="00BB37AE">
            <w:pPr>
              <w:rPr>
                <w:noProof/>
              </w:rPr>
            </w:pPr>
          </w:p>
        </w:tc>
        <w:tc>
          <w:tcPr>
            <w:tcW w:w="3686" w:type="dxa"/>
            <w:tcBorders>
              <w:bottom w:val="single" w:sz="4" w:space="0" w:color="auto"/>
            </w:tcBorders>
          </w:tcPr>
          <w:p w14:paraId="199A48AF" w14:textId="5ECA0721" w:rsidR="009347B7" w:rsidRDefault="000C45D0" w:rsidP="0842DDBE">
            <w:pPr>
              <w:rPr>
                <w:noProof/>
              </w:rPr>
            </w:pPr>
            <w:r>
              <w:rPr>
                <w:noProof/>
              </w:rPr>
              <w:drawing>
                <wp:inline distT="0" distB="0" distL="0" distR="0" wp14:anchorId="07805482" wp14:editId="35D17521">
                  <wp:extent cx="2203450" cy="1672281"/>
                  <wp:effectExtent l="0" t="0" r="6350" b="4445"/>
                  <wp:docPr id="1286654927" name="Chart 1">
                    <a:extLst xmlns:a="http://schemas.openxmlformats.org/drawingml/2006/main">
                      <a:ext uri="{FF2B5EF4-FFF2-40B4-BE49-F238E27FC236}">
                        <a16:creationId xmlns:a16="http://schemas.microsoft.com/office/drawing/2014/main" id="{F7C627BD-9B4A-8DFB-9C05-63E18A65B47F}"/>
                      </a:ext>
                      <a:ext uri="{147F2762-F138-4A5C-976F-8EAC2B608ADB}">
                        <a16:predDERef xmlns:a16="http://schemas.microsoft.com/office/drawing/2014/main" pred="{95809B3D-16CC-40AE-A1E6-DFC6F45C21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D22D6A8" w14:textId="557686E6" w:rsidR="00BB37AE" w:rsidRDefault="005A76AA" w:rsidP="0842DDBE">
            <w:r w:rsidRPr="0842DDBE">
              <w:rPr>
                <w:noProof/>
              </w:rPr>
              <w:t>A</w:t>
            </w:r>
            <w:r w:rsidR="004958A8">
              <w:rPr>
                <w:noProof/>
              </w:rPr>
              <w:t>n increase</w:t>
            </w:r>
            <w:r w:rsidRPr="0842DDBE">
              <w:rPr>
                <w:noProof/>
              </w:rPr>
              <w:t xml:space="preserve"> from last quarter</w:t>
            </w:r>
            <w:r w:rsidR="008112E7">
              <w:rPr>
                <w:noProof/>
              </w:rPr>
              <w:t>.</w:t>
            </w:r>
            <w:r>
              <w:rPr>
                <w:noProof/>
              </w:rPr>
              <w:t xml:space="preserve"> </w:t>
            </w:r>
          </w:p>
          <w:p w14:paraId="5369A7EB" w14:textId="29EDE502" w:rsidR="00ED4A2D" w:rsidRDefault="00ED4A2D" w:rsidP="00BB37AE">
            <w:pPr>
              <w:rPr>
                <w:noProof/>
              </w:rPr>
            </w:pPr>
          </w:p>
        </w:tc>
        <w:tc>
          <w:tcPr>
            <w:tcW w:w="4541" w:type="dxa"/>
            <w:tcBorders>
              <w:bottom w:val="single" w:sz="4" w:space="0" w:color="auto"/>
            </w:tcBorders>
          </w:tcPr>
          <w:p w14:paraId="7CE46E12" w14:textId="7EF275B6" w:rsidR="005A76AA" w:rsidRDefault="00E662E7" w:rsidP="0842DDBE">
            <w:r>
              <w:rPr>
                <w:noProof/>
              </w:rPr>
              <w:drawing>
                <wp:inline distT="0" distB="0" distL="0" distR="0" wp14:anchorId="369AB064" wp14:editId="7E7EF6C6">
                  <wp:extent cx="2746375" cy="1801495"/>
                  <wp:effectExtent l="0" t="0" r="0" b="8255"/>
                  <wp:docPr id="1598683932" name="Chart 1">
                    <a:extLst xmlns:a="http://schemas.openxmlformats.org/drawingml/2006/main">
                      <a:ext uri="{FF2B5EF4-FFF2-40B4-BE49-F238E27FC236}">
                        <a16:creationId xmlns:a16="http://schemas.microsoft.com/office/drawing/2014/main" id="{48D0D71D-E7E6-49CB-A7C1-0FCC601BA045}"/>
                      </a:ext>
                      <a:ext uri="{147F2762-F138-4A5C-976F-8EAC2B608ADB}">
                        <a16:predDERef xmlns:a16="http://schemas.microsoft.com/office/drawing/2014/main" pred="{46F5BE57-8C13-485F-AD01-84C0A5CC6F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DBE3398" w14:textId="77777777" w:rsidR="00B42BF7" w:rsidRDefault="005A76AA" w:rsidP="0842DDBE">
            <w:r>
              <w:t>Stable trend since 2021/22, despite emergency admissions numbers from A+E increasing.  This is because the number of A+E attendances also increased albeit at a slower rate.</w:t>
            </w:r>
          </w:p>
          <w:p w14:paraId="175BCD4C" w14:textId="0B9D5478" w:rsidR="001009C2" w:rsidRDefault="001009C2" w:rsidP="0842DDBE"/>
        </w:tc>
        <w:tc>
          <w:tcPr>
            <w:tcW w:w="1276" w:type="dxa"/>
            <w:tcBorders>
              <w:bottom w:val="single" w:sz="4" w:space="0" w:color="auto"/>
            </w:tcBorders>
          </w:tcPr>
          <w:p w14:paraId="37DF97CE" w14:textId="3A623724" w:rsidR="00BB37AE" w:rsidRDefault="001B6E1D" w:rsidP="00BB37AE">
            <w:r>
              <w:t>Not Avail</w:t>
            </w:r>
          </w:p>
        </w:tc>
        <w:tc>
          <w:tcPr>
            <w:tcW w:w="1134" w:type="dxa"/>
            <w:tcBorders>
              <w:bottom w:val="single" w:sz="4" w:space="0" w:color="auto"/>
            </w:tcBorders>
          </w:tcPr>
          <w:p w14:paraId="17CF8059" w14:textId="77777777" w:rsidR="00BB37AE" w:rsidRDefault="00BB37AE" w:rsidP="00BB37AE">
            <w:r>
              <w:t>Not Avail</w:t>
            </w:r>
          </w:p>
        </w:tc>
        <w:tc>
          <w:tcPr>
            <w:tcW w:w="1134" w:type="dxa"/>
            <w:tcBorders>
              <w:bottom w:val="single" w:sz="4" w:space="0" w:color="auto"/>
            </w:tcBorders>
          </w:tcPr>
          <w:p w14:paraId="0E7B86E4" w14:textId="77777777" w:rsidR="00BB37AE" w:rsidRDefault="00BB37AE" w:rsidP="00BB37AE">
            <w:r>
              <w:t>Not Avail</w:t>
            </w:r>
          </w:p>
        </w:tc>
      </w:tr>
      <w:tr w:rsidR="005B5820" w14:paraId="0AC0707A" w14:textId="77777777" w:rsidTr="00085203">
        <w:trPr>
          <w:trHeight w:val="1269"/>
          <w:jc w:val="center"/>
        </w:trPr>
        <w:tc>
          <w:tcPr>
            <w:tcW w:w="1980" w:type="dxa"/>
            <w:tcBorders>
              <w:bottom w:val="single" w:sz="4" w:space="0" w:color="auto"/>
            </w:tcBorders>
            <w:shd w:val="clear" w:color="auto" w:fill="BFBFBF" w:themeFill="background1" w:themeFillShade="BF"/>
          </w:tcPr>
          <w:p w14:paraId="5A81B2D0" w14:textId="503C87D4" w:rsidR="005B5820" w:rsidRPr="00125124" w:rsidRDefault="005B5820" w:rsidP="005B5820">
            <w:pPr>
              <w:tabs>
                <w:tab w:val="center" w:pos="4153"/>
                <w:tab w:val="right" w:pos="8306"/>
              </w:tabs>
              <w:rPr>
                <w:rFonts w:cs="Arial"/>
                <w:color w:val="000000"/>
              </w:rPr>
            </w:pPr>
            <w:r w:rsidRPr="00727A3D">
              <w:rPr>
                <w:b/>
              </w:rPr>
              <w:t>National Indicator</w:t>
            </w:r>
          </w:p>
        </w:tc>
        <w:tc>
          <w:tcPr>
            <w:tcW w:w="2693" w:type="dxa"/>
            <w:tcBorders>
              <w:bottom w:val="single" w:sz="4" w:space="0" w:color="auto"/>
            </w:tcBorders>
            <w:shd w:val="clear" w:color="auto" w:fill="BFBFBF" w:themeFill="background1" w:themeFillShade="BF"/>
          </w:tcPr>
          <w:p w14:paraId="3CB5BAA4" w14:textId="1046A358" w:rsidR="005B5820" w:rsidRDefault="005B5820" w:rsidP="005B5820">
            <w:pPr>
              <w:rPr>
                <w:noProof/>
              </w:rPr>
            </w:pPr>
            <w:r w:rsidRPr="00727A3D">
              <w:rPr>
                <w:b/>
              </w:rPr>
              <w:t>Difference From 1</w:t>
            </w:r>
            <w:r w:rsidR="00723311">
              <w:rPr>
                <w:b/>
              </w:rPr>
              <w:t>8-19</w:t>
            </w:r>
            <w:r w:rsidRPr="00727A3D">
              <w:rPr>
                <w:b/>
              </w:rPr>
              <w:t xml:space="preserve"> Baseline</w:t>
            </w:r>
          </w:p>
        </w:tc>
        <w:tc>
          <w:tcPr>
            <w:tcW w:w="3686" w:type="dxa"/>
            <w:tcBorders>
              <w:bottom w:val="single" w:sz="4" w:space="0" w:color="auto"/>
            </w:tcBorders>
            <w:shd w:val="clear" w:color="auto" w:fill="BFBFBF" w:themeFill="background1" w:themeFillShade="BF"/>
          </w:tcPr>
          <w:p w14:paraId="22C600B1" w14:textId="63CB03A3" w:rsidR="005B5820" w:rsidRDefault="005B5820" w:rsidP="005B5820">
            <w:pPr>
              <w:rPr>
                <w:noProof/>
              </w:rPr>
            </w:pPr>
            <w:r>
              <w:rPr>
                <w:b/>
              </w:rPr>
              <w:t xml:space="preserve">Dundee </w:t>
            </w:r>
            <w:r w:rsidRPr="00727A3D">
              <w:rPr>
                <w:b/>
              </w:rPr>
              <w:t>Short Term Trend (last 4 quarters)</w:t>
            </w:r>
          </w:p>
        </w:tc>
        <w:tc>
          <w:tcPr>
            <w:tcW w:w="4541" w:type="dxa"/>
            <w:tcBorders>
              <w:bottom w:val="single" w:sz="4" w:space="0" w:color="auto"/>
            </w:tcBorders>
            <w:shd w:val="clear" w:color="auto" w:fill="BFBFBF" w:themeFill="background1" w:themeFillShade="BF"/>
          </w:tcPr>
          <w:p w14:paraId="21155B59" w14:textId="30AFC762" w:rsidR="005B5820" w:rsidRDefault="005B5820" w:rsidP="005B5820">
            <w:pPr>
              <w:rPr>
                <w:noProof/>
              </w:rPr>
            </w:pPr>
            <w:r w:rsidRPr="00727A3D">
              <w:rPr>
                <w:b/>
              </w:rPr>
              <w:t>Long Term Trend</w:t>
            </w:r>
          </w:p>
        </w:tc>
        <w:tc>
          <w:tcPr>
            <w:tcW w:w="1276" w:type="dxa"/>
            <w:tcBorders>
              <w:bottom w:val="single" w:sz="4" w:space="0" w:color="auto"/>
            </w:tcBorders>
            <w:shd w:val="clear" w:color="auto" w:fill="BFBFBF" w:themeFill="background1" w:themeFillShade="BF"/>
          </w:tcPr>
          <w:p w14:paraId="6280D8B6" w14:textId="77777777" w:rsidR="005B5820" w:rsidRDefault="005B5820" w:rsidP="005B5820">
            <w:pPr>
              <w:jc w:val="center"/>
              <w:rPr>
                <w:b/>
              </w:rPr>
            </w:pPr>
            <w:r>
              <w:rPr>
                <w:b/>
              </w:rPr>
              <w:t>Scotland Position</w:t>
            </w:r>
          </w:p>
          <w:p w14:paraId="4B5E1F07" w14:textId="0FAF560A" w:rsidR="005B5820" w:rsidRDefault="005B5820" w:rsidP="005B5820">
            <w:r>
              <w:rPr>
                <w:b/>
              </w:rPr>
              <w:t>1= best, 3</w:t>
            </w:r>
            <w:r w:rsidR="00C976D2">
              <w:rPr>
                <w:b/>
              </w:rPr>
              <w:t>1</w:t>
            </w:r>
            <w:r>
              <w:rPr>
                <w:b/>
              </w:rPr>
              <w:t xml:space="preserve"> = worst</w:t>
            </w:r>
          </w:p>
        </w:tc>
        <w:tc>
          <w:tcPr>
            <w:tcW w:w="1134" w:type="dxa"/>
            <w:tcBorders>
              <w:bottom w:val="single" w:sz="4" w:space="0" w:color="auto"/>
            </w:tcBorders>
            <w:shd w:val="clear" w:color="auto" w:fill="BFBFBF" w:themeFill="background1" w:themeFillShade="BF"/>
          </w:tcPr>
          <w:p w14:paraId="0E88968E" w14:textId="77777777" w:rsidR="005B5820" w:rsidRDefault="005B5820" w:rsidP="005B5820">
            <w:pPr>
              <w:jc w:val="center"/>
              <w:rPr>
                <w:b/>
              </w:rPr>
            </w:pPr>
            <w:r w:rsidRPr="00727A3D">
              <w:rPr>
                <w:b/>
              </w:rPr>
              <w:t>Family Group Position</w:t>
            </w:r>
          </w:p>
          <w:p w14:paraId="74D92422" w14:textId="29047385" w:rsidR="005B5820" w:rsidRDefault="005B5820" w:rsidP="005B5820">
            <w:r>
              <w:rPr>
                <w:b/>
              </w:rPr>
              <w:t>1= best, 8 = worst</w:t>
            </w:r>
          </w:p>
        </w:tc>
        <w:tc>
          <w:tcPr>
            <w:tcW w:w="1134" w:type="dxa"/>
            <w:tcBorders>
              <w:bottom w:val="single" w:sz="4" w:space="0" w:color="auto"/>
            </w:tcBorders>
            <w:shd w:val="clear" w:color="auto" w:fill="BFBFBF" w:themeFill="background1" w:themeFillShade="BF"/>
          </w:tcPr>
          <w:p w14:paraId="494C2F53" w14:textId="2AD0760E" w:rsidR="005B5820" w:rsidRDefault="005B5820" w:rsidP="005B5820">
            <w:r w:rsidRPr="00727A3D">
              <w:rPr>
                <w:b/>
              </w:rPr>
              <w:t>Tayside Group Position</w:t>
            </w:r>
            <w:r>
              <w:rPr>
                <w:b/>
              </w:rPr>
              <w:t xml:space="preserve"> 1= best, 3 = worst</w:t>
            </w:r>
          </w:p>
        </w:tc>
      </w:tr>
      <w:tr w:rsidR="005B5820" w14:paraId="50F37A7C" w14:textId="77777777" w:rsidTr="00085203">
        <w:trPr>
          <w:trHeight w:val="1701"/>
          <w:jc w:val="center"/>
        </w:trPr>
        <w:tc>
          <w:tcPr>
            <w:tcW w:w="1980" w:type="dxa"/>
            <w:tcBorders>
              <w:bottom w:val="single" w:sz="4" w:space="0" w:color="auto"/>
            </w:tcBorders>
          </w:tcPr>
          <w:p w14:paraId="794871AA" w14:textId="77777777" w:rsidR="005B5820" w:rsidRPr="00125124" w:rsidRDefault="005B5820" w:rsidP="005B5820">
            <w:pPr>
              <w:tabs>
                <w:tab w:val="center" w:pos="4153"/>
                <w:tab w:val="right" w:pos="8306"/>
              </w:tabs>
              <w:rPr>
                <w:rFonts w:cs="Arial"/>
                <w:color w:val="000000"/>
              </w:rPr>
            </w:pPr>
            <w:r w:rsidRPr="0091398E">
              <w:rPr>
                <w:rFonts w:cs="Arial"/>
                <w:color w:val="000000"/>
              </w:rPr>
              <w:t>Accident &amp; Emergency Attendances (MSG)</w:t>
            </w:r>
          </w:p>
        </w:tc>
        <w:tc>
          <w:tcPr>
            <w:tcW w:w="2693" w:type="dxa"/>
            <w:tcBorders>
              <w:bottom w:val="single" w:sz="4" w:space="0" w:color="auto"/>
            </w:tcBorders>
          </w:tcPr>
          <w:p w14:paraId="6B3D6CBC" w14:textId="29E1F1C4" w:rsidR="005B5820" w:rsidRDefault="00AE7FD1" w:rsidP="005B5820">
            <w:pPr>
              <w:rPr>
                <w:noProof/>
              </w:rPr>
            </w:pPr>
            <w:r w:rsidRPr="00AE7FD1">
              <w:rPr>
                <w:noProof/>
              </w:rPr>
              <w:t>364</w:t>
            </w:r>
            <w:r w:rsidR="008B1085">
              <w:rPr>
                <w:noProof/>
              </w:rPr>
              <w:t xml:space="preserve"> </w:t>
            </w:r>
            <w:r>
              <w:rPr>
                <w:noProof/>
              </w:rPr>
              <w:t>more</w:t>
            </w:r>
            <w:r w:rsidR="008B1085">
              <w:rPr>
                <w:noProof/>
              </w:rPr>
              <w:t xml:space="preserve"> A+E attendances</w:t>
            </w:r>
            <w:r w:rsidR="6DA7BA78" w:rsidRPr="0842DDBE">
              <w:rPr>
                <w:noProof/>
              </w:rPr>
              <w:t xml:space="preserve"> in</w:t>
            </w:r>
            <w:r w:rsidR="6D334A2B" w:rsidRPr="0842DDBE">
              <w:rPr>
                <w:noProof/>
              </w:rPr>
              <w:t xml:space="preserve"> </w:t>
            </w:r>
            <w:r w:rsidR="7FF2CC3B" w:rsidRPr="0842DDBE">
              <w:rPr>
                <w:noProof/>
              </w:rPr>
              <w:t>20</w:t>
            </w:r>
            <w:r w:rsidR="3C25A8A2" w:rsidRPr="0842DDBE">
              <w:rPr>
                <w:noProof/>
              </w:rPr>
              <w:t>24</w:t>
            </w:r>
            <w:r w:rsidR="6D334A2B" w:rsidRPr="0842DDBE">
              <w:rPr>
                <w:noProof/>
              </w:rPr>
              <w:t xml:space="preserve"> than 201</w:t>
            </w:r>
            <w:r w:rsidR="3C25A8A2" w:rsidRPr="0842DDBE">
              <w:rPr>
                <w:noProof/>
              </w:rPr>
              <w:t>8/19</w:t>
            </w:r>
            <w:r w:rsidR="008112E7">
              <w:rPr>
                <w:noProof/>
              </w:rPr>
              <w:t>.</w:t>
            </w:r>
            <w:r w:rsidR="008B1085">
              <w:rPr>
                <w:noProof/>
              </w:rPr>
              <w:t xml:space="preserve"> </w:t>
            </w:r>
          </w:p>
        </w:tc>
        <w:tc>
          <w:tcPr>
            <w:tcW w:w="3686" w:type="dxa"/>
            <w:tcBorders>
              <w:bottom w:val="single" w:sz="4" w:space="0" w:color="auto"/>
            </w:tcBorders>
          </w:tcPr>
          <w:p w14:paraId="0955B267" w14:textId="2AB9A28C" w:rsidR="00CC4794" w:rsidRDefault="00820D92" w:rsidP="0842DDBE">
            <w:r>
              <w:rPr>
                <w:noProof/>
              </w:rPr>
              <w:drawing>
                <wp:inline distT="0" distB="0" distL="0" distR="0" wp14:anchorId="2E9D8FD4" wp14:editId="4B276CEB">
                  <wp:extent cx="2114550" cy="1676400"/>
                  <wp:effectExtent l="0" t="0" r="0" b="0"/>
                  <wp:docPr id="386817516" name="Chart 1">
                    <a:extLst xmlns:a="http://schemas.openxmlformats.org/drawingml/2006/main">
                      <a:ext uri="{FF2B5EF4-FFF2-40B4-BE49-F238E27FC236}">
                        <a16:creationId xmlns:a16="http://schemas.microsoft.com/office/drawing/2014/main" id="{7F4EC84D-80C3-4358-AE54-8A44CEE41D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FBD917D" w14:textId="407F61C1" w:rsidR="00CC4794" w:rsidRDefault="00CC4794" w:rsidP="0842DDBE"/>
          <w:p w14:paraId="6FEE2154" w14:textId="2849C985" w:rsidR="009C2BFC" w:rsidRDefault="00BB3A7F" w:rsidP="005B5820">
            <w:pPr>
              <w:rPr>
                <w:noProof/>
              </w:rPr>
            </w:pPr>
            <w:r>
              <w:rPr>
                <w:noProof/>
              </w:rPr>
              <w:t>Increase in attendance from Q3 to Q4</w:t>
            </w:r>
            <w:r w:rsidR="008112E7">
              <w:rPr>
                <w:noProof/>
              </w:rPr>
              <w:t>.</w:t>
            </w:r>
          </w:p>
          <w:p w14:paraId="2E814A61" w14:textId="2469DE72" w:rsidR="00723311" w:rsidRDefault="00723311" w:rsidP="005B5820">
            <w:pPr>
              <w:rPr>
                <w:noProof/>
              </w:rPr>
            </w:pPr>
          </w:p>
        </w:tc>
        <w:tc>
          <w:tcPr>
            <w:tcW w:w="4541" w:type="dxa"/>
            <w:tcBorders>
              <w:bottom w:val="single" w:sz="4" w:space="0" w:color="auto"/>
            </w:tcBorders>
          </w:tcPr>
          <w:p w14:paraId="310F3C3D" w14:textId="757E1D70" w:rsidR="005B5820" w:rsidRDefault="00B87FB7" w:rsidP="0842DDBE">
            <w:r>
              <w:rPr>
                <w:noProof/>
              </w:rPr>
              <w:drawing>
                <wp:inline distT="0" distB="0" distL="0" distR="0" wp14:anchorId="023C59FC" wp14:editId="13C2BDFF">
                  <wp:extent cx="2628900" cy="1819275"/>
                  <wp:effectExtent l="0" t="0" r="0" b="0"/>
                  <wp:docPr id="1665720232" name="Chart 1">
                    <a:extLst xmlns:a="http://schemas.openxmlformats.org/drawingml/2006/main">
                      <a:ext uri="{FF2B5EF4-FFF2-40B4-BE49-F238E27FC236}">
                        <a16:creationId xmlns:a16="http://schemas.microsoft.com/office/drawing/2014/main" id="{AB94E172-1073-41C3-88EF-8D775A0DB30D}"/>
                      </a:ext>
                      <a:ext uri="{147F2762-F138-4A5C-976F-8EAC2B608ADB}">
                        <a16:predDERef xmlns:a16="http://schemas.microsoft.com/office/drawing/2014/main" pred="{7F4EC84D-80C3-4358-AE54-8A44CEE41D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1276" w:type="dxa"/>
            <w:tcBorders>
              <w:bottom w:val="single" w:sz="4" w:space="0" w:color="auto"/>
            </w:tcBorders>
          </w:tcPr>
          <w:p w14:paraId="3086B133" w14:textId="409BD301" w:rsidR="005B5820" w:rsidRDefault="005B5820" w:rsidP="005B5820">
            <w:r>
              <w:t>NA as number and not rate</w:t>
            </w:r>
          </w:p>
        </w:tc>
        <w:tc>
          <w:tcPr>
            <w:tcW w:w="1134" w:type="dxa"/>
            <w:tcBorders>
              <w:bottom w:val="single" w:sz="4" w:space="0" w:color="auto"/>
            </w:tcBorders>
          </w:tcPr>
          <w:p w14:paraId="3A48BE7B" w14:textId="5D5FD5D9" w:rsidR="005B5820" w:rsidRDefault="005B5820" w:rsidP="005B5820">
            <w:r>
              <w:t>NA as number and not rate</w:t>
            </w:r>
          </w:p>
        </w:tc>
        <w:tc>
          <w:tcPr>
            <w:tcW w:w="1134" w:type="dxa"/>
            <w:tcBorders>
              <w:bottom w:val="single" w:sz="4" w:space="0" w:color="auto"/>
            </w:tcBorders>
          </w:tcPr>
          <w:p w14:paraId="13C03D11" w14:textId="0B23FF3A" w:rsidR="005B5820" w:rsidRDefault="005B5820" w:rsidP="005B5820">
            <w:r>
              <w:t>NA as number and not rate</w:t>
            </w:r>
          </w:p>
        </w:tc>
      </w:tr>
      <w:tr w:rsidR="00EC109C" w14:paraId="6675FF34" w14:textId="77777777" w:rsidTr="00085203">
        <w:trPr>
          <w:trHeight w:val="418"/>
          <w:jc w:val="center"/>
        </w:trPr>
        <w:tc>
          <w:tcPr>
            <w:tcW w:w="1980" w:type="dxa"/>
            <w:tcBorders>
              <w:bottom w:val="single" w:sz="4" w:space="0" w:color="auto"/>
            </w:tcBorders>
          </w:tcPr>
          <w:p w14:paraId="3563C5BC" w14:textId="77777777" w:rsidR="00EC109C" w:rsidRPr="00A11873" w:rsidRDefault="00EC109C" w:rsidP="00EC109C">
            <w:r w:rsidRPr="0091398E">
              <w:t>13.Emer Bed days rate per 100,000 18+</w:t>
            </w:r>
          </w:p>
        </w:tc>
        <w:tc>
          <w:tcPr>
            <w:tcW w:w="2693" w:type="dxa"/>
            <w:tcBorders>
              <w:bottom w:val="single" w:sz="4" w:space="0" w:color="auto"/>
            </w:tcBorders>
          </w:tcPr>
          <w:p w14:paraId="4FA594D0" w14:textId="03B5D9E0" w:rsidR="00EC109C" w:rsidRDefault="00CD76EF" w:rsidP="00EC109C">
            <w:pPr>
              <w:rPr>
                <w:noProof/>
              </w:rPr>
            </w:pPr>
            <w:r>
              <w:rPr>
                <w:noProof/>
              </w:rPr>
              <w:drawing>
                <wp:anchor distT="0" distB="0" distL="114300" distR="114300" simplePos="0" relativeHeight="251658250" behindDoc="0" locked="0" layoutInCell="1" allowOverlap="1" wp14:anchorId="727413EE" wp14:editId="31DA0D2F">
                  <wp:simplePos x="0" y="0"/>
                  <wp:positionH relativeFrom="column">
                    <wp:posOffset>-61595</wp:posOffset>
                  </wp:positionH>
                  <wp:positionV relativeFrom="paragraph">
                    <wp:posOffset>0</wp:posOffset>
                  </wp:positionV>
                  <wp:extent cx="1828800" cy="1438275"/>
                  <wp:effectExtent l="0" t="0" r="0" b="0"/>
                  <wp:wrapSquare wrapText="bothSides"/>
                  <wp:docPr id="343818191" name="Chart 1">
                    <a:extLst xmlns:a="http://schemas.openxmlformats.org/drawingml/2006/main">
                      <a:ext uri="{FF2B5EF4-FFF2-40B4-BE49-F238E27FC236}">
                        <a16:creationId xmlns:a16="http://schemas.microsoft.com/office/drawing/2014/main" id="{25E06B0C-264B-4EDA-830E-E5883611AAB4}"/>
                      </a:ext>
                      <a:ext uri="{147F2762-F138-4A5C-976F-8EAC2B608ADB}">
                        <a16:predDERef xmlns:a16="http://schemas.microsoft.com/office/drawing/2014/main" pred="{9A9D9F14-B1CE-4F11-970E-D6EEDEA416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14:paraId="0036BD21" w14:textId="0B5041E0" w:rsidR="00EC109C" w:rsidRDefault="00C155ED" w:rsidP="00EC109C">
            <w:pPr>
              <w:rPr>
                <w:noProof/>
              </w:rPr>
            </w:pPr>
            <w:r>
              <w:t>There was a</w:t>
            </w:r>
            <w:r w:rsidR="00811500">
              <w:t xml:space="preserve"> slight increase</w:t>
            </w:r>
            <w:r>
              <w:t xml:space="preserve"> in the emergency bed days rate by </w:t>
            </w:r>
            <w:r w:rsidR="00811500">
              <w:t>0.9</w:t>
            </w:r>
            <w:r>
              <w:t>% between 2018-19 and Q</w:t>
            </w:r>
            <w:r w:rsidR="00811500">
              <w:t>4</w:t>
            </w:r>
            <w:r>
              <w:t xml:space="preserve"> 23-24. This equates to an</w:t>
            </w:r>
            <w:r w:rsidR="00F0548E">
              <w:t xml:space="preserve"> increase</w:t>
            </w:r>
            <w:r>
              <w:t xml:space="preserve"> of </w:t>
            </w:r>
            <w:r w:rsidR="00250EB3">
              <w:t>364</w:t>
            </w:r>
            <w:r>
              <w:t xml:space="preserve"> emergency bed days (</w:t>
            </w:r>
            <w:r w:rsidR="00250EB3">
              <w:t>deterioration</w:t>
            </w:r>
            <w:r>
              <w:t xml:space="preserve">). </w:t>
            </w:r>
            <w:r w:rsidRPr="0842DDBE">
              <w:rPr>
                <w:noProof/>
              </w:rPr>
              <w:t>(source: NHST BSU)</w:t>
            </w:r>
          </w:p>
          <w:p w14:paraId="77C9D43F" w14:textId="77777777" w:rsidR="00250EB3" w:rsidRDefault="00250EB3" w:rsidP="00EC109C">
            <w:pPr>
              <w:rPr>
                <w:noProof/>
              </w:rPr>
            </w:pPr>
          </w:p>
          <w:p w14:paraId="636BE7B9" w14:textId="5880DF46" w:rsidR="00EC109C" w:rsidRDefault="00EC109C" w:rsidP="00EC109C">
            <w:pPr>
              <w:rPr>
                <w:noProof/>
              </w:rPr>
            </w:pPr>
          </w:p>
          <w:p w14:paraId="15F4A994" w14:textId="5A44A69C" w:rsidR="00EC109C" w:rsidRDefault="00EC109C" w:rsidP="00EC109C">
            <w:pPr>
              <w:rPr>
                <w:noProof/>
              </w:rPr>
            </w:pPr>
          </w:p>
          <w:p w14:paraId="3C96F763" w14:textId="069D5CF2" w:rsidR="00676CFA" w:rsidRDefault="00676CFA" w:rsidP="00EC109C">
            <w:pPr>
              <w:rPr>
                <w:noProof/>
              </w:rPr>
            </w:pPr>
          </w:p>
          <w:p w14:paraId="5E036A6E" w14:textId="06EF96FC" w:rsidR="00676CFA" w:rsidRDefault="00676CFA" w:rsidP="00EC109C">
            <w:pPr>
              <w:rPr>
                <w:noProof/>
              </w:rPr>
            </w:pPr>
          </w:p>
          <w:p w14:paraId="307FF087" w14:textId="373B409D" w:rsidR="008B1085" w:rsidRDefault="008B1085" w:rsidP="00EC109C">
            <w:pPr>
              <w:rPr>
                <w:noProof/>
              </w:rPr>
            </w:pPr>
          </w:p>
          <w:p w14:paraId="772A8B24" w14:textId="3628E88D" w:rsidR="008B1085" w:rsidRDefault="008B1085" w:rsidP="00EC109C">
            <w:pPr>
              <w:rPr>
                <w:noProof/>
              </w:rPr>
            </w:pPr>
          </w:p>
          <w:p w14:paraId="5A6E4875" w14:textId="53DE852C" w:rsidR="008B1085" w:rsidRDefault="008B1085" w:rsidP="00EC109C">
            <w:pPr>
              <w:rPr>
                <w:noProof/>
              </w:rPr>
            </w:pPr>
          </w:p>
          <w:p w14:paraId="1AA7CC91" w14:textId="325F9983" w:rsidR="008B1085" w:rsidRDefault="008B1085" w:rsidP="00EC109C">
            <w:pPr>
              <w:rPr>
                <w:noProof/>
              </w:rPr>
            </w:pPr>
          </w:p>
          <w:p w14:paraId="18911155" w14:textId="10529C16" w:rsidR="008B1085" w:rsidRDefault="008B1085" w:rsidP="00EC109C">
            <w:pPr>
              <w:rPr>
                <w:noProof/>
              </w:rPr>
            </w:pPr>
          </w:p>
          <w:p w14:paraId="4C3A9FEE" w14:textId="00164030" w:rsidR="008B1085" w:rsidRDefault="008B1085" w:rsidP="00EC109C">
            <w:pPr>
              <w:rPr>
                <w:noProof/>
              </w:rPr>
            </w:pPr>
          </w:p>
          <w:p w14:paraId="70A912EE" w14:textId="214815B9" w:rsidR="008B1085" w:rsidRDefault="008B1085" w:rsidP="00EC109C">
            <w:pPr>
              <w:rPr>
                <w:noProof/>
              </w:rPr>
            </w:pPr>
          </w:p>
          <w:p w14:paraId="657612A0" w14:textId="7DB57BB5" w:rsidR="008B1085" w:rsidRDefault="008B1085" w:rsidP="00EC109C">
            <w:pPr>
              <w:rPr>
                <w:noProof/>
              </w:rPr>
            </w:pPr>
          </w:p>
          <w:p w14:paraId="36AEDD56" w14:textId="77777777" w:rsidR="004B00B3" w:rsidRDefault="004B00B3" w:rsidP="00EC109C">
            <w:pPr>
              <w:rPr>
                <w:noProof/>
              </w:rPr>
            </w:pPr>
          </w:p>
          <w:p w14:paraId="2EFADBAD" w14:textId="77777777" w:rsidR="004B00B3" w:rsidRDefault="004B00B3" w:rsidP="00EC109C">
            <w:pPr>
              <w:rPr>
                <w:noProof/>
              </w:rPr>
            </w:pPr>
          </w:p>
          <w:p w14:paraId="32D36ECE" w14:textId="77777777" w:rsidR="004B00B3" w:rsidRDefault="004B00B3" w:rsidP="00EC109C">
            <w:pPr>
              <w:rPr>
                <w:noProof/>
              </w:rPr>
            </w:pPr>
          </w:p>
          <w:p w14:paraId="06261BD7" w14:textId="77777777" w:rsidR="004B00B3" w:rsidRDefault="004B00B3" w:rsidP="00EC109C">
            <w:pPr>
              <w:rPr>
                <w:noProof/>
              </w:rPr>
            </w:pPr>
          </w:p>
          <w:p w14:paraId="3657CB10" w14:textId="77777777" w:rsidR="008B1085" w:rsidRDefault="008B1085" w:rsidP="00EC109C">
            <w:pPr>
              <w:rPr>
                <w:noProof/>
              </w:rPr>
            </w:pPr>
          </w:p>
          <w:p w14:paraId="4A586648" w14:textId="77777777" w:rsidR="004B00B3" w:rsidRDefault="004B00B3" w:rsidP="00EC109C">
            <w:pPr>
              <w:rPr>
                <w:noProof/>
              </w:rPr>
            </w:pPr>
          </w:p>
          <w:p w14:paraId="40554C1D" w14:textId="5E94AD75" w:rsidR="00676CFA" w:rsidRDefault="00676CFA" w:rsidP="00EC109C">
            <w:pPr>
              <w:rPr>
                <w:noProof/>
              </w:rPr>
            </w:pPr>
          </w:p>
          <w:p w14:paraId="0F31998D" w14:textId="77777777" w:rsidR="004A7827" w:rsidRDefault="004A7827" w:rsidP="00EC109C">
            <w:pPr>
              <w:rPr>
                <w:noProof/>
              </w:rPr>
            </w:pPr>
          </w:p>
          <w:p w14:paraId="0D0E7A50" w14:textId="42737536" w:rsidR="00EC109C" w:rsidRDefault="473886F6" w:rsidP="00EC109C">
            <w:pPr>
              <w:rPr>
                <w:noProof/>
              </w:rPr>
            </w:pPr>
            <w:r w:rsidRPr="0842DDBE">
              <w:rPr>
                <w:noProof/>
              </w:rPr>
              <w:t>4,283</w:t>
            </w:r>
            <w:r w:rsidR="0602B787" w:rsidRPr="0842DDBE">
              <w:rPr>
                <w:noProof/>
              </w:rPr>
              <w:t xml:space="preserve"> (</w:t>
            </w:r>
            <w:r w:rsidR="55BDBA09" w:rsidRPr="0842DDBE">
              <w:rPr>
                <w:noProof/>
              </w:rPr>
              <w:t>12</w:t>
            </w:r>
            <w:r w:rsidR="0602B787" w:rsidRPr="0842DDBE">
              <w:rPr>
                <w:noProof/>
              </w:rPr>
              <w:t xml:space="preserve">%) </w:t>
            </w:r>
            <w:r w:rsidR="6C6826E8" w:rsidRPr="0842DDBE">
              <w:rPr>
                <w:noProof/>
              </w:rPr>
              <w:t>less</w:t>
            </w:r>
            <w:r w:rsidR="0602B787" w:rsidRPr="0842DDBE">
              <w:rPr>
                <w:noProof/>
              </w:rPr>
              <w:t xml:space="preserve"> mental health bed days in Q</w:t>
            </w:r>
            <w:r w:rsidR="72F8444B" w:rsidRPr="0842DDBE">
              <w:rPr>
                <w:noProof/>
              </w:rPr>
              <w:t>3</w:t>
            </w:r>
            <w:r w:rsidR="0602B787" w:rsidRPr="0842DDBE">
              <w:rPr>
                <w:noProof/>
              </w:rPr>
              <w:t xml:space="preserve"> 2023-24 than 2018-19 (</w:t>
            </w:r>
            <w:r w:rsidR="001009C2">
              <w:rPr>
                <w:noProof/>
              </w:rPr>
              <w:t>improvement</w:t>
            </w:r>
            <w:r w:rsidR="0602B787" w:rsidRPr="0842DDBE">
              <w:rPr>
                <w:noProof/>
              </w:rPr>
              <w:t>) (source: MSG)</w:t>
            </w:r>
          </w:p>
          <w:p w14:paraId="62CFB5F3" w14:textId="1C60F06C" w:rsidR="00EC109C" w:rsidRDefault="00EC109C" w:rsidP="00EC109C">
            <w:pPr>
              <w:rPr>
                <w:noProof/>
              </w:rPr>
            </w:pPr>
          </w:p>
          <w:p w14:paraId="4DF40D51" w14:textId="26AFAB1A" w:rsidR="00EC109C" w:rsidRDefault="00EC109C" w:rsidP="00EC109C">
            <w:pPr>
              <w:rPr>
                <w:noProof/>
              </w:rPr>
            </w:pPr>
          </w:p>
          <w:p w14:paraId="3C43D3A5" w14:textId="111B3A8F" w:rsidR="00EC109C" w:rsidRDefault="00EC109C" w:rsidP="00EC109C">
            <w:pPr>
              <w:rPr>
                <w:noProof/>
              </w:rPr>
            </w:pPr>
          </w:p>
          <w:p w14:paraId="5CA23CB7" w14:textId="57001E3B" w:rsidR="00EC109C" w:rsidRDefault="00EC109C" w:rsidP="00EC109C">
            <w:pPr>
              <w:rPr>
                <w:noProof/>
              </w:rPr>
            </w:pPr>
          </w:p>
          <w:p w14:paraId="3A94B0E6" w14:textId="75533DDF" w:rsidR="00EC109C" w:rsidRDefault="00EC109C" w:rsidP="00EC109C">
            <w:pPr>
              <w:rPr>
                <w:noProof/>
              </w:rPr>
            </w:pPr>
          </w:p>
          <w:p w14:paraId="15797772" w14:textId="6FE80563" w:rsidR="00EC109C" w:rsidRDefault="00EC109C" w:rsidP="00EC109C">
            <w:pPr>
              <w:rPr>
                <w:noProof/>
              </w:rPr>
            </w:pPr>
          </w:p>
          <w:p w14:paraId="3DE25A07" w14:textId="2FA48CEB" w:rsidR="00EC109C" w:rsidRDefault="00EC109C" w:rsidP="00EC109C">
            <w:pPr>
              <w:rPr>
                <w:noProof/>
              </w:rPr>
            </w:pPr>
          </w:p>
          <w:p w14:paraId="56BEED0F" w14:textId="7599428B" w:rsidR="00EC109C" w:rsidRDefault="00EC109C" w:rsidP="00EC109C">
            <w:pPr>
              <w:rPr>
                <w:noProof/>
              </w:rPr>
            </w:pPr>
          </w:p>
          <w:p w14:paraId="139AD67E" w14:textId="36236D53" w:rsidR="00EC109C" w:rsidRDefault="00EC109C" w:rsidP="00EC109C">
            <w:pPr>
              <w:rPr>
                <w:noProof/>
              </w:rPr>
            </w:pPr>
          </w:p>
          <w:p w14:paraId="0825E2EC" w14:textId="018CC346" w:rsidR="00EC109C" w:rsidRDefault="00EC109C" w:rsidP="00EC109C">
            <w:pPr>
              <w:rPr>
                <w:noProof/>
              </w:rPr>
            </w:pPr>
          </w:p>
          <w:p w14:paraId="7F76F5DF" w14:textId="77777777" w:rsidR="00EC109C" w:rsidRPr="002866A8" w:rsidRDefault="00EC109C" w:rsidP="00EC109C"/>
        </w:tc>
        <w:tc>
          <w:tcPr>
            <w:tcW w:w="3686" w:type="dxa"/>
            <w:tcBorders>
              <w:bottom w:val="single" w:sz="4" w:space="0" w:color="auto"/>
            </w:tcBorders>
          </w:tcPr>
          <w:p w14:paraId="3E61FA89" w14:textId="3F1D7AFA" w:rsidR="009A6B67" w:rsidRDefault="005D799B" w:rsidP="001009C2">
            <w:pPr>
              <w:rPr>
                <w:noProof/>
              </w:rPr>
            </w:pPr>
            <w:r>
              <w:rPr>
                <w:noProof/>
              </w:rPr>
              <w:drawing>
                <wp:anchor distT="0" distB="0" distL="114300" distR="114300" simplePos="0" relativeHeight="251658251" behindDoc="0" locked="0" layoutInCell="1" allowOverlap="1" wp14:anchorId="6F51E2FD" wp14:editId="7449B811">
                  <wp:simplePos x="0" y="0"/>
                  <wp:positionH relativeFrom="column">
                    <wp:posOffset>38735</wp:posOffset>
                  </wp:positionH>
                  <wp:positionV relativeFrom="paragraph">
                    <wp:posOffset>0</wp:posOffset>
                  </wp:positionV>
                  <wp:extent cx="2228850" cy="1400175"/>
                  <wp:effectExtent l="0" t="0" r="0" b="0"/>
                  <wp:wrapSquare wrapText="bothSides"/>
                  <wp:docPr id="272548597" name="Chart 1">
                    <a:extLst xmlns:a="http://schemas.openxmlformats.org/drawingml/2006/main">
                      <a:ext uri="{FF2B5EF4-FFF2-40B4-BE49-F238E27FC236}">
                        <a16:creationId xmlns:a16="http://schemas.microsoft.com/office/drawing/2014/main" id="{B5692146-529A-4550-BC3D-1460F3D311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6379419F" w14:textId="36A946BC" w:rsidR="009226AD" w:rsidRDefault="00400AF0" w:rsidP="001009C2">
            <w:r>
              <w:t xml:space="preserve">The </w:t>
            </w:r>
            <w:r w:rsidR="009F4D5A">
              <w:t xml:space="preserve">emergency bed days </w:t>
            </w:r>
            <w:r>
              <w:t xml:space="preserve">rate </w:t>
            </w:r>
            <w:r w:rsidR="001009C2">
              <w:t>increased</w:t>
            </w:r>
            <w:r>
              <w:t xml:space="preserve"> between Q</w:t>
            </w:r>
            <w:r w:rsidR="00C50390">
              <w:t>1</w:t>
            </w:r>
            <w:r>
              <w:t xml:space="preserve"> and Q2 with a significant decrease </w:t>
            </w:r>
            <w:r w:rsidR="009F4D5A">
              <w:t>from Q2 to</w:t>
            </w:r>
            <w:r>
              <w:t xml:space="preserve"> Q3</w:t>
            </w:r>
            <w:r w:rsidR="001E0640">
              <w:t xml:space="preserve"> </w:t>
            </w:r>
            <w:r w:rsidR="009F4D5A">
              <w:t>then to</w:t>
            </w:r>
            <w:r w:rsidR="001E0640">
              <w:t xml:space="preserve"> Q4</w:t>
            </w:r>
            <w:r>
              <w:t xml:space="preserve">. </w:t>
            </w:r>
          </w:p>
          <w:p w14:paraId="514701E9" w14:textId="7E93EBCA" w:rsidR="009C2BFC" w:rsidRDefault="001009C2" w:rsidP="00EC109C">
            <w:r w:rsidRPr="009226AD">
              <w:rPr>
                <w:i/>
              </w:rPr>
              <w:t xml:space="preserve">*TrakCare data cleansing has taken place which has contributed to the Q3 decrease </w:t>
            </w:r>
          </w:p>
          <w:p w14:paraId="0E0E5156" w14:textId="26587F9D" w:rsidR="009C2BFC" w:rsidRDefault="009C2BFC" w:rsidP="00EC109C"/>
          <w:p w14:paraId="495B002C" w14:textId="61846F35" w:rsidR="009C2BFC" w:rsidRDefault="005A4651" w:rsidP="00EC109C">
            <w:r>
              <w:rPr>
                <w:noProof/>
              </w:rPr>
              <w:drawing>
                <wp:inline distT="0" distB="0" distL="0" distR="0" wp14:anchorId="30AB2C7B" wp14:editId="428A603E">
                  <wp:extent cx="2203450" cy="1812324"/>
                  <wp:effectExtent l="0" t="0" r="6350" b="0"/>
                  <wp:docPr id="2025360737" name="Chart 1">
                    <a:extLst xmlns:a="http://schemas.openxmlformats.org/drawingml/2006/main">
                      <a:ext uri="{FF2B5EF4-FFF2-40B4-BE49-F238E27FC236}">
                        <a16:creationId xmlns:a16="http://schemas.microsoft.com/office/drawing/2014/main" id="{11EED80D-1522-4C56-A1C4-04F49B306099}"/>
                      </a:ext>
                      <a:ext uri="{147F2762-F138-4A5C-976F-8EAC2B608ADB}">
                        <a16:predDERef xmlns:a16="http://schemas.microsoft.com/office/drawing/2014/main" pred="{536D37D2-5045-433A-B820-B470E5527D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AA0C6E6" w14:textId="4762CBDA" w:rsidR="009C2BFC" w:rsidRDefault="009C2BFC" w:rsidP="00EC109C"/>
          <w:p w14:paraId="0692F6B1" w14:textId="77777777" w:rsidR="00D558EA" w:rsidRDefault="00D558EA" w:rsidP="009226AD">
            <w:pPr>
              <w:rPr>
                <w:noProof/>
                <w:sz w:val="16"/>
                <w:szCs w:val="16"/>
              </w:rPr>
            </w:pPr>
          </w:p>
          <w:p w14:paraId="13804533" w14:textId="77777777" w:rsidR="003C7884" w:rsidRDefault="003C7884" w:rsidP="009226AD">
            <w:pPr>
              <w:rPr>
                <w:noProof/>
                <w:sz w:val="16"/>
                <w:szCs w:val="16"/>
              </w:rPr>
            </w:pPr>
          </w:p>
          <w:p w14:paraId="3E2B4F14" w14:textId="77777777" w:rsidR="004B00B3" w:rsidRDefault="004B00B3" w:rsidP="009226AD">
            <w:pPr>
              <w:rPr>
                <w:noProof/>
                <w:sz w:val="16"/>
                <w:szCs w:val="16"/>
              </w:rPr>
            </w:pPr>
          </w:p>
          <w:p w14:paraId="063FA3C2" w14:textId="77777777" w:rsidR="004B00B3" w:rsidRDefault="004B00B3" w:rsidP="009226AD">
            <w:pPr>
              <w:rPr>
                <w:noProof/>
                <w:sz w:val="16"/>
                <w:szCs w:val="16"/>
              </w:rPr>
            </w:pPr>
          </w:p>
          <w:p w14:paraId="2C93B232" w14:textId="77777777" w:rsidR="004B00B3" w:rsidRDefault="004B00B3" w:rsidP="009226AD">
            <w:pPr>
              <w:rPr>
                <w:noProof/>
                <w:sz w:val="16"/>
                <w:szCs w:val="16"/>
              </w:rPr>
            </w:pPr>
          </w:p>
          <w:p w14:paraId="752231C8" w14:textId="77777777" w:rsidR="003C7884" w:rsidRDefault="003C7884" w:rsidP="009226AD">
            <w:pPr>
              <w:rPr>
                <w:noProof/>
                <w:sz w:val="16"/>
                <w:szCs w:val="16"/>
              </w:rPr>
            </w:pPr>
          </w:p>
          <w:p w14:paraId="1D915243" w14:textId="51E48A84" w:rsidR="003C7884" w:rsidRDefault="003C7884" w:rsidP="009226AD">
            <w:r>
              <w:rPr>
                <w:noProof/>
              </w:rPr>
              <w:drawing>
                <wp:inline distT="0" distB="0" distL="0" distR="0" wp14:anchorId="47A2BEEC" wp14:editId="308FB5BE">
                  <wp:extent cx="2203450" cy="1573427"/>
                  <wp:effectExtent l="0" t="0" r="6350" b="8255"/>
                  <wp:docPr id="863000301" name="Chart 1">
                    <a:extLst xmlns:a="http://schemas.openxmlformats.org/drawingml/2006/main">
                      <a:ext uri="{FF2B5EF4-FFF2-40B4-BE49-F238E27FC236}">
                        <a16:creationId xmlns:a16="http://schemas.microsoft.com/office/drawing/2014/main" id="{7210D147-F47C-42C4-9E39-FB651F7060D7}"/>
                      </a:ext>
                      <a:ext uri="{147F2762-F138-4A5C-976F-8EAC2B608ADB}">
                        <a16:predDERef xmlns:a16="http://schemas.microsoft.com/office/drawing/2014/main" pred="{91C5A9A6-04E8-4012-BCC7-CE55A27043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4D7A3CB" w14:textId="77777777" w:rsidR="003C7884" w:rsidRDefault="003C7884" w:rsidP="009226AD"/>
          <w:p w14:paraId="0AEC426B" w14:textId="451B46AD" w:rsidR="0072518E" w:rsidRDefault="009226AD" w:rsidP="009226AD">
            <w:r>
              <w:t xml:space="preserve"> A decrease in the rate of mental health emergency bed days since Q1 (improvement)</w:t>
            </w:r>
            <w:r w:rsidR="008112E7">
              <w:t>.</w:t>
            </w:r>
          </w:p>
        </w:tc>
        <w:tc>
          <w:tcPr>
            <w:tcW w:w="4541" w:type="dxa"/>
            <w:tcBorders>
              <w:bottom w:val="single" w:sz="4" w:space="0" w:color="auto"/>
            </w:tcBorders>
          </w:tcPr>
          <w:p w14:paraId="78613F67" w14:textId="74D36426" w:rsidR="006E2BAE" w:rsidRDefault="00225992" w:rsidP="0842DDBE">
            <w:pPr>
              <w:rPr>
                <w:noProof/>
              </w:rPr>
            </w:pPr>
            <w:r>
              <w:rPr>
                <w:noProof/>
              </w:rPr>
              <w:drawing>
                <wp:anchor distT="0" distB="0" distL="114300" distR="114300" simplePos="0" relativeHeight="251658252" behindDoc="0" locked="0" layoutInCell="1" allowOverlap="1" wp14:anchorId="1381BB8C" wp14:editId="00598CCA">
                  <wp:simplePos x="0" y="0"/>
                  <wp:positionH relativeFrom="column">
                    <wp:posOffset>-64770</wp:posOffset>
                  </wp:positionH>
                  <wp:positionV relativeFrom="paragraph">
                    <wp:posOffset>24130</wp:posOffset>
                  </wp:positionV>
                  <wp:extent cx="2876550" cy="2238375"/>
                  <wp:effectExtent l="0" t="0" r="0" b="0"/>
                  <wp:wrapSquare wrapText="bothSides"/>
                  <wp:docPr id="2084531173" name="Chart 1">
                    <a:extLst xmlns:a="http://schemas.openxmlformats.org/drawingml/2006/main">
                      <a:ext uri="{FF2B5EF4-FFF2-40B4-BE49-F238E27FC236}">
                        <a16:creationId xmlns:a16="http://schemas.microsoft.com/office/drawing/2014/main" id="{4B7D7142-D2BC-43BA-BBCA-369FD8CFBE9A}"/>
                      </a:ext>
                      <a:ext uri="{147F2762-F138-4A5C-976F-8EAC2B608ADB}">
                        <a16:predDERef xmlns:a16="http://schemas.microsoft.com/office/drawing/2014/main" pred="{B5692146-529A-4550-BC3D-1460F3D311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14:paraId="6DA5D3F3" w14:textId="77777777" w:rsidR="005803C8" w:rsidRDefault="005803C8" w:rsidP="0842DDBE"/>
          <w:p w14:paraId="52DE3761" w14:textId="7943047C" w:rsidR="008B1085" w:rsidRDefault="00507A02" w:rsidP="0842DDBE">
            <w:r>
              <w:rPr>
                <w:noProof/>
              </w:rPr>
              <w:drawing>
                <wp:inline distT="0" distB="0" distL="0" distR="0" wp14:anchorId="1B0FF505" wp14:editId="652AB114">
                  <wp:extent cx="2746375" cy="1892300"/>
                  <wp:effectExtent l="0" t="0" r="0" b="0"/>
                  <wp:docPr id="1886044528" name="Chart 1">
                    <a:extLst xmlns:a="http://schemas.openxmlformats.org/drawingml/2006/main">
                      <a:ext uri="{FF2B5EF4-FFF2-40B4-BE49-F238E27FC236}">
                        <a16:creationId xmlns:a16="http://schemas.microsoft.com/office/drawing/2014/main" id="{536D37D2-5045-433A-B820-B470E5527D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73FDEF2" w14:textId="77777777" w:rsidR="005803C8" w:rsidRDefault="005803C8" w:rsidP="0842DDBE"/>
          <w:p w14:paraId="30247045" w14:textId="1E9AFAA4" w:rsidR="008B1085" w:rsidRDefault="008B1085" w:rsidP="0842DDBE"/>
          <w:p w14:paraId="22055DBA" w14:textId="77777777" w:rsidR="008D7A6B" w:rsidRDefault="008D7A6B" w:rsidP="0842DDBE"/>
          <w:p w14:paraId="0FAD90D1" w14:textId="77777777" w:rsidR="008D7A6B" w:rsidRDefault="008D7A6B" w:rsidP="0842DDBE"/>
          <w:p w14:paraId="65AA7F5F" w14:textId="77777777" w:rsidR="008D7A6B" w:rsidRDefault="008D7A6B" w:rsidP="0842DDBE"/>
          <w:p w14:paraId="710BF2DE" w14:textId="23304334" w:rsidR="008D7A6B" w:rsidRDefault="008D7A6B" w:rsidP="0842DDBE">
            <w:r>
              <w:rPr>
                <w:noProof/>
              </w:rPr>
              <w:drawing>
                <wp:inline distT="0" distB="0" distL="0" distR="0" wp14:anchorId="0D8EE627" wp14:editId="143C18DF">
                  <wp:extent cx="2746375" cy="1885212"/>
                  <wp:effectExtent l="0" t="0" r="0" b="1270"/>
                  <wp:docPr id="715575168" name="Chart 1">
                    <a:extLst xmlns:a="http://schemas.openxmlformats.org/drawingml/2006/main">
                      <a:ext uri="{FF2B5EF4-FFF2-40B4-BE49-F238E27FC236}">
                        <a16:creationId xmlns:a16="http://schemas.microsoft.com/office/drawing/2014/main" id="{91C5A9A6-04E8-4012-BCC7-CE55A27043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8CF9454" w14:textId="42732673" w:rsidR="00886F9C" w:rsidRDefault="009226AD" w:rsidP="0842DDBE">
            <w:r>
              <w:t>A</w:t>
            </w:r>
            <w:r w:rsidR="00F82DBA">
              <w:t>n</w:t>
            </w:r>
            <w:r>
              <w:t xml:space="preserve"> overall decrease in the rate of mental health emergency bed days since 2018/19 (improvement)</w:t>
            </w:r>
            <w:r w:rsidR="008112E7">
              <w:t>.</w:t>
            </w:r>
          </w:p>
          <w:p w14:paraId="31561E7D" w14:textId="77777777" w:rsidR="004B00B3" w:rsidRDefault="004B00B3" w:rsidP="0842DDBE"/>
          <w:p w14:paraId="5789B255" w14:textId="77777777" w:rsidR="004B00B3" w:rsidRDefault="004B00B3" w:rsidP="0842DDBE"/>
          <w:p w14:paraId="7204FB97" w14:textId="77777777" w:rsidR="004B00B3" w:rsidRDefault="004B00B3" w:rsidP="0842DDBE"/>
          <w:p w14:paraId="60C9D058" w14:textId="5E85B991" w:rsidR="006E2BAE" w:rsidRDefault="006E2BAE" w:rsidP="0842DDBE"/>
        </w:tc>
        <w:tc>
          <w:tcPr>
            <w:tcW w:w="1276" w:type="dxa"/>
            <w:tcBorders>
              <w:bottom w:val="single" w:sz="4" w:space="0" w:color="auto"/>
            </w:tcBorders>
          </w:tcPr>
          <w:p w14:paraId="394AA3A0" w14:textId="13696045" w:rsidR="00EC109C" w:rsidRDefault="00EC109C" w:rsidP="00EC109C">
            <w:pPr>
              <w:jc w:val="center"/>
            </w:pPr>
            <w:r>
              <w:t>1</w:t>
            </w:r>
            <w:r w:rsidR="007810FB">
              <w:t>5</w:t>
            </w:r>
            <w:r>
              <w:t>th</w:t>
            </w:r>
          </w:p>
        </w:tc>
        <w:tc>
          <w:tcPr>
            <w:tcW w:w="1134" w:type="dxa"/>
            <w:tcBorders>
              <w:bottom w:val="single" w:sz="4" w:space="0" w:color="auto"/>
            </w:tcBorders>
          </w:tcPr>
          <w:p w14:paraId="7F73FAED" w14:textId="095470A2" w:rsidR="00EC109C" w:rsidRDefault="00EC109C" w:rsidP="00EC109C">
            <w:r>
              <w:t>1st</w:t>
            </w:r>
          </w:p>
        </w:tc>
        <w:tc>
          <w:tcPr>
            <w:tcW w:w="1134" w:type="dxa"/>
            <w:tcBorders>
              <w:bottom w:val="single" w:sz="4" w:space="0" w:color="auto"/>
            </w:tcBorders>
          </w:tcPr>
          <w:p w14:paraId="1F6E5315" w14:textId="31269E4C" w:rsidR="00EC109C" w:rsidRDefault="00EC109C" w:rsidP="00EC109C">
            <w:pPr>
              <w:jc w:val="center"/>
            </w:pPr>
            <w:r>
              <w:t>2nd</w:t>
            </w:r>
          </w:p>
        </w:tc>
      </w:tr>
      <w:tr w:rsidR="00EC109C" w14:paraId="6BC2CAD6" w14:textId="77777777" w:rsidTr="00085203">
        <w:trPr>
          <w:jc w:val="center"/>
        </w:trPr>
        <w:tc>
          <w:tcPr>
            <w:tcW w:w="1980" w:type="dxa"/>
            <w:shd w:val="clear" w:color="auto" w:fill="BFBFBF" w:themeFill="background1" w:themeFillShade="BF"/>
          </w:tcPr>
          <w:p w14:paraId="57CC5F08" w14:textId="77777777" w:rsidR="00EC109C" w:rsidRDefault="00EC109C" w:rsidP="00EC109C">
            <w:pPr>
              <w:rPr>
                <w:b/>
              </w:rPr>
            </w:pPr>
            <w:r w:rsidRPr="00727A3D">
              <w:rPr>
                <w:b/>
              </w:rPr>
              <w:t>National Indicator</w:t>
            </w:r>
          </w:p>
        </w:tc>
        <w:tc>
          <w:tcPr>
            <w:tcW w:w="2693" w:type="dxa"/>
            <w:shd w:val="clear" w:color="auto" w:fill="BFBFBF" w:themeFill="background1" w:themeFillShade="BF"/>
          </w:tcPr>
          <w:p w14:paraId="56669A62" w14:textId="409351DF" w:rsidR="00EC109C" w:rsidRDefault="00EC109C" w:rsidP="00EC109C">
            <w:pPr>
              <w:rPr>
                <w:noProof/>
              </w:rPr>
            </w:pPr>
            <w:r w:rsidRPr="00727A3D">
              <w:rPr>
                <w:b/>
              </w:rPr>
              <w:t>Difference From 1</w:t>
            </w:r>
            <w:r w:rsidR="00AE12BA">
              <w:rPr>
                <w:b/>
              </w:rPr>
              <w:t>8-19</w:t>
            </w:r>
            <w:r w:rsidRPr="00727A3D">
              <w:rPr>
                <w:b/>
              </w:rPr>
              <w:t xml:space="preserve"> Baseline</w:t>
            </w:r>
          </w:p>
        </w:tc>
        <w:tc>
          <w:tcPr>
            <w:tcW w:w="3686" w:type="dxa"/>
            <w:shd w:val="clear" w:color="auto" w:fill="BFBFBF" w:themeFill="background1" w:themeFillShade="BF"/>
          </w:tcPr>
          <w:p w14:paraId="393D91B2" w14:textId="77777777" w:rsidR="00EC109C" w:rsidRDefault="00EC109C" w:rsidP="00EC109C">
            <w:pPr>
              <w:rPr>
                <w:noProof/>
              </w:rPr>
            </w:pPr>
            <w:r>
              <w:rPr>
                <w:b/>
              </w:rPr>
              <w:t xml:space="preserve">Dundee </w:t>
            </w:r>
            <w:r w:rsidRPr="00727A3D">
              <w:rPr>
                <w:b/>
              </w:rPr>
              <w:t>Short Term Trend (last 4 quarters)</w:t>
            </w:r>
          </w:p>
        </w:tc>
        <w:tc>
          <w:tcPr>
            <w:tcW w:w="4541" w:type="dxa"/>
            <w:shd w:val="clear" w:color="auto" w:fill="BFBFBF" w:themeFill="background1" w:themeFillShade="BF"/>
          </w:tcPr>
          <w:p w14:paraId="0A0B2951" w14:textId="54D2BE04" w:rsidR="00EC109C" w:rsidRDefault="00EC109C" w:rsidP="00EC109C">
            <w:pPr>
              <w:rPr>
                <w:noProof/>
              </w:rPr>
            </w:pPr>
            <w:r w:rsidRPr="00727A3D">
              <w:rPr>
                <w:b/>
              </w:rPr>
              <w:t>Long Term Trend</w:t>
            </w:r>
          </w:p>
        </w:tc>
        <w:tc>
          <w:tcPr>
            <w:tcW w:w="1276" w:type="dxa"/>
            <w:shd w:val="clear" w:color="auto" w:fill="BFBFBF" w:themeFill="background1" w:themeFillShade="BF"/>
          </w:tcPr>
          <w:p w14:paraId="693CBF1F" w14:textId="79124DF9" w:rsidR="00EC109C" w:rsidRDefault="00EC109C" w:rsidP="00EC109C">
            <w:pPr>
              <w:jc w:val="center"/>
              <w:rPr>
                <w:b/>
              </w:rPr>
            </w:pPr>
            <w:r>
              <w:rPr>
                <w:b/>
              </w:rPr>
              <w:t>Scotland Position</w:t>
            </w:r>
          </w:p>
          <w:p w14:paraId="5A7CF907" w14:textId="0947D4C6" w:rsidR="00EC109C" w:rsidRPr="00727A3D" w:rsidRDefault="00EC109C" w:rsidP="00EC109C">
            <w:pPr>
              <w:jc w:val="center"/>
              <w:rPr>
                <w:b/>
              </w:rPr>
            </w:pPr>
            <w:r>
              <w:rPr>
                <w:b/>
              </w:rPr>
              <w:t>1= best, 3</w:t>
            </w:r>
            <w:r w:rsidR="007810FB">
              <w:rPr>
                <w:b/>
              </w:rPr>
              <w:t>1</w:t>
            </w:r>
            <w:r>
              <w:rPr>
                <w:b/>
              </w:rPr>
              <w:t xml:space="preserve"> = worst</w:t>
            </w:r>
          </w:p>
        </w:tc>
        <w:tc>
          <w:tcPr>
            <w:tcW w:w="1134" w:type="dxa"/>
            <w:shd w:val="clear" w:color="auto" w:fill="BFBFBF" w:themeFill="background1" w:themeFillShade="BF"/>
          </w:tcPr>
          <w:p w14:paraId="076A698C" w14:textId="77777777" w:rsidR="00EC109C" w:rsidRDefault="00EC109C" w:rsidP="00EC109C">
            <w:pPr>
              <w:jc w:val="center"/>
              <w:rPr>
                <w:b/>
              </w:rPr>
            </w:pPr>
            <w:r w:rsidRPr="00727A3D">
              <w:rPr>
                <w:b/>
              </w:rPr>
              <w:t>Family Group Position</w:t>
            </w:r>
          </w:p>
          <w:p w14:paraId="185FD7D5" w14:textId="77777777" w:rsidR="00EC109C" w:rsidRDefault="00EC109C" w:rsidP="00EC109C">
            <w:r>
              <w:rPr>
                <w:b/>
              </w:rPr>
              <w:t>1= best, 8 = worst</w:t>
            </w:r>
          </w:p>
        </w:tc>
        <w:tc>
          <w:tcPr>
            <w:tcW w:w="1134" w:type="dxa"/>
            <w:shd w:val="clear" w:color="auto" w:fill="BFBFBF" w:themeFill="background1" w:themeFillShade="BF"/>
          </w:tcPr>
          <w:p w14:paraId="2FE7D428" w14:textId="77777777" w:rsidR="00EC109C" w:rsidRDefault="00EC109C" w:rsidP="00EC109C">
            <w:r w:rsidRPr="00727A3D">
              <w:rPr>
                <w:b/>
              </w:rPr>
              <w:t>Tayside Group Position</w:t>
            </w:r>
            <w:r>
              <w:rPr>
                <w:b/>
              </w:rPr>
              <w:t xml:space="preserve"> 1= best, 3 = worst</w:t>
            </w:r>
          </w:p>
        </w:tc>
      </w:tr>
      <w:tr w:rsidR="00EC109C" w14:paraId="6BB4C253" w14:textId="77777777" w:rsidTr="00085203">
        <w:trPr>
          <w:trHeight w:val="3346"/>
          <w:jc w:val="center"/>
        </w:trPr>
        <w:tc>
          <w:tcPr>
            <w:tcW w:w="1980" w:type="dxa"/>
            <w:tcBorders>
              <w:bottom w:val="single" w:sz="4" w:space="0" w:color="auto"/>
            </w:tcBorders>
          </w:tcPr>
          <w:p w14:paraId="685A85CA" w14:textId="77777777" w:rsidR="009226AD" w:rsidRDefault="00EC109C" w:rsidP="00EC109C">
            <w:pPr>
              <w:rPr>
                <w:b/>
              </w:rPr>
            </w:pPr>
            <w:r w:rsidRPr="0091398E">
              <w:rPr>
                <w:b/>
              </w:rPr>
              <w:t>14.Readmiss</w:t>
            </w:r>
          </w:p>
          <w:p w14:paraId="182DDD5C" w14:textId="7EDDB8CD" w:rsidR="00EC109C" w:rsidRDefault="00EC109C" w:rsidP="00EC109C">
            <w:pPr>
              <w:rPr>
                <w:b/>
              </w:rPr>
            </w:pPr>
            <w:r w:rsidRPr="0091398E">
              <w:rPr>
                <w:b/>
              </w:rPr>
              <w:t xml:space="preserve">ions rate per 1,000 Admissions </w:t>
            </w:r>
            <w:r w:rsidR="009226AD">
              <w:rPr>
                <w:b/>
              </w:rPr>
              <w:t>18+</w:t>
            </w:r>
          </w:p>
          <w:p w14:paraId="3291E30C" w14:textId="77777777" w:rsidR="00EC109C" w:rsidRDefault="00EC109C" w:rsidP="00EC109C"/>
          <w:p w14:paraId="2AEC5873" w14:textId="7C6C1448" w:rsidR="00EC109C" w:rsidRDefault="00EC109C" w:rsidP="00EC109C"/>
        </w:tc>
        <w:tc>
          <w:tcPr>
            <w:tcW w:w="2693" w:type="dxa"/>
            <w:tcBorders>
              <w:bottom w:val="single" w:sz="4" w:space="0" w:color="auto"/>
            </w:tcBorders>
          </w:tcPr>
          <w:p w14:paraId="70F4F3CB" w14:textId="0259BF5C" w:rsidR="00641964" w:rsidRDefault="00DC310D" w:rsidP="00EC109C">
            <w:pPr>
              <w:rPr>
                <w:noProof/>
              </w:rPr>
            </w:pPr>
            <w:r>
              <w:rPr>
                <w:noProof/>
              </w:rPr>
              <w:drawing>
                <wp:anchor distT="0" distB="0" distL="114300" distR="114300" simplePos="0" relativeHeight="251658253" behindDoc="0" locked="0" layoutInCell="1" allowOverlap="1" wp14:anchorId="0388B85E" wp14:editId="5AE6777B">
                  <wp:simplePos x="0" y="0"/>
                  <wp:positionH relativeFrom="column">
                    <wp:posOffset>-65405</wp:posOffset>
                  </wp:positionH>
                  <wp:positionV relativeFrom="paragraph">
                    <wp:posOffset>41910</wp:posOffset>
                  </wp:positionV>
                  <wp:extent cx="1657350" cy="1304925"/>
                  <wp:effectExtent l="0" t="0" r="0" b="0"/>
                  <wp:wrapSquare wrapText="bothSides"/>
                  <wp:docPr id="2083944740" name="Chart 1">
                    <a:extLst xmlns:a="http://schemas.openxmlformats.org/drawingml/2006/main">
                      <a:ext uri="{FF2B5EF4-FFF2-40B4-BE49-F238E27FC236}">
                        <a16:creationId xmlns:a16="http://schemas.microsoft.com/office/drawing/2014/main" id="{CEDB509C-FD16-4FA3-9DD8-9BE429155E95}"/>
                      </a:ext>
                      <a:ext uri="{147F2762-F138-4A5C-976F-8EAC2B608ADB}">
                        <a16:predDERef xmlns:a16="http://schemas.microsoft.com/office/drawing/2014/main" pred="{150AEF37-D16A-4222-935A-0BA7874EAA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p>
          <w:p w14:paraId="36921720" w14:textId="5696EE2E" w:rsidR="00EC109C" w:rsidRPr="000F202D" w:rsidRDefault="2AEB645B" w:rsidP="006E4E5B">
            <w:r w:rsidRPr="5A3B7500">
              <w:rPr>
                <w:noProof/>
              </w:rPr>
              <w:t xml:space="preserve">The rate is </w:t>
            </w:r>
            <w:r w:rsidR="00BF49FF">
              <w:rPr>
                <w:noProof/>
              </w:rPr>
              <w:t>9</w:t>
            </w:r>
            <w:r w:rsidR="515DA329" w:rsidRPr="5A3B7500">
              <w:rPr>
                <w:noProof/>
              </w:rPr>
              <w:t>% higher at Q</w:t>
            </w:r>
            <w:r w:rsidR="00BF49FF">
              <w:rPr>
                <w:noProof/>
              </w:rPr>
              <w:t>4</w:t>
            </w:r>
            <w:r w:rsidR="0602B787">
              <w:t xml:space="preserve"> </w:t>
            </w:r>
            <w:r w:rsidR="009226AD">
              <w:t>20</w:t>
            </w:r>
            <w:r w:rsidR="0602B787">
              <w:t>23</w:t>
            </w:r>
            <w:r w:rsidR="328B922A">
              <w:t>-</w:t>
            </w:r>
            <w:r w:rsidR="0602B787">
              <w:t xml:space="preserve">24 </w:t>
            </w:r>
            <w:r w:rsidR="515DA329">
              <w:t>than</w:t>
            </w:r>
            <w:r w:rsidR="0602B787">
              <w:t xml:space="preserve"> </w:t>
            </w:r>
            <w:r w:rsidR="009226AD">
              <w:t>20</w:t>
            </w:r>
            <w:r w:rsidR="0602B787">
              <w:t>18</w:t>
            </w:r>
            <w:r w:rsidR="328B922A">
              <w:t>-</w:t>
            </w:r>
            <w:r w:rsidR="0602B787">
              <w:t>19</w:t>
            </w:r>
            <w:r w:rsidR="0602B787" w:rsidRPr="0053470E">
              <w:rPr>
                <w:i/>
                <w:iCs/>
                <w:color w:val="FF0000"/>
              </w:rPr>
              <w:t>.</w:t>
            </w:r>
            <w:r w:rsidR="46233750" w:rsidRPr="0053470E">
              <w:rPr>
                <w:i/>
                <w:iCs/>
                <w:color w:val="FF0000"/>
              </w:rPr>
              <w:t xml:space="preserve"> </w:t>
            </w:r>
            <w:r w:rsidR="009226AD" w:rsidRPr="000F202D">
              <w:t>The</w:t>
            </w:r>
            <w:r w:rsidR="006E4E5B">
              <w:t xml:space="preserve"> </w:t>
            </w:r>
            <w:r w:rsidR="009226AD" w:rsidRPr="000F202D">
              <w:t xml:space="preserve">number of readmissions (numerator) increased by </w:t>
            </w:r>
            <w:r w:rsidR="000F202D" w:rsidRPr="000F202D">
              <w:t>784</w:t>
            </w:r>
            <w:r w:rsidR="009226AD" w:rsidRPr="000F202D">
              <w:t xml:space="preserve"> readmissions between 2018-19 and Q</w:t>
            </w:r>
            <w:r w:rsidR="000F202D" w:rsidRPr="000F202D">
              <w:t>4</w:t>
            </w:r>
            <w:r w:rsidR="009226AD" w:rsidRPr="000F202D">
              <w:t xml:space="preserve"> 2023-24</w:t>
            </w:r>
            <w:r w:rsidR="008112E7">
              <w:t>.</w:t>
            </w:r>
          </w:p>
        </w:tc>
        <w:tc>
          <w:tcPr>
            <w:tcW w:w="3686" w:type="dxa"/>
            <w:tcBorders>
              <w:bottom w:val="single" w:sz="4" w:space="0" w:color="auto"/>
            </w:tcBorders>
          </w:tcPr>
          <w:p w14:paraId="75F37512" w14:textId="6D468727" w:rsidR="00B041FD" w:rsidRDefault="00C66BA6" w:rsidP="00EC109C">
            <w:pPr>
              <w:rPr>
                <w:noProof/>
              </w:rPr>
            </w:pPr>
            <w:r>
              <w:rPr>
                <w:noProof/>
              </w:rPr>
              <w:drawing>
                <wp:anchor distT="0" distB="0" distL="114300" distR="114300" simplePos="0" relativeHeight="251658254" behindDoc="0" locked="0" layoutInCell="1" allowOverlap="1" wp14:anchorId="08F91FBF" wp14:editId="568289E4">
                  <wp:simplePos x="0" y="0"/>
                  <wp:positionH relativeFrom="column">
                    <wp:posOffset>-65405</wp:posOffset>
                  </wp:positionH>
                  <wp:positionV relativeFrom="paragraph">
                    <wp:posOffset>6985</wp:posOffset>
                  </wp:positionV>
                  <wp:extent cx="2305050" cy="1485900"/>
                  <wp:effectExtent l="0" t="0" r="0" b="0"/>
                  <wp:wrapSquare wrapText="bothSides"/>
                  <wp:docPr id="1296625370" name="Chart 1">
                    <a:extLst xmlns:a="http://schemas.openxmlformats.org/drawingml/2006/main">
                      <a:ext uri="{FF2B5EF4-FFF2-40B4-BE49-F238E27FC236}">
                        <a16:creationId xmlns:a16="http://schemas.microsoft.com/office/drawing/2014/main" id="{56D51C2D-D069-4D98-BA3C-81AADB774062}"/>
                      </a:ext>
                      <a:ext uri="{147F2762-F138-4A5C-976F-8EAC2B608ADB}">
                        <a16:predDERef xmlns:a16="http://schemas.microsoft.com/office/drawing/2014/main" pred="{CEDB509C-FD16-4FA3-9DD8-9BE429155E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p>
          <w:p w14:paraId="4FAF8884" w14:textId="4264C827" w:rsidR="00EC109C" w:rsidRDefault="00BC6E34" w:rsidP="00EC109C">
            <w:r>
              <w:t xml:space="preserve">A progressive </w:t>
            </w:r>
            <w:r w:rsidR="00045477">
              <w:t>i</w:t>
            </w:r>
            <w:r w:rsidR="00905137">
              <w:t xml:space="preserve">ncrease </w:t>
            </w:r>
            <w:r w:rsidR="0ABFEA3C">
              <w:t xml:space="preserve">in the rate </w:t>
            </w:r>
            <w:r>
              <w:t xml:space="preserve">for readmissions </w:t>
            </w:r>
            <w:r w:rsidR="00905137">
              <w:t xml:space="preserve">over the last </w:t>
            </w:r>
            <w:r w:rsidR="00FA2889">
              <w:t>4</w:t>
            </w:r>
            <w:r w:rsidR="00905137">
              <w:t xml:space="preserve"> quarters</w:t>
            </w:r>
            <w:r w:rsidR="00E409D0">
              <w:t xml:space="preserve">. </w:t>
            </w:r>
            <w:r w:rsidR="00F82DBA">
              <w:t>(deterioration)</w:t>
            </w:r>
          </w:p>
          <w:p w14:paraId="5DB8D556" w14:textId="53F5945A" w:rsidR="00F82DBA" w:rsidRDefault="00F82DBA" w:rsidP="00EC109C"/>
          <w:p w14:paraId="718F5B1A" w14:textId="4A8CE72A" w:rsidR="004B3DA2" w:rsidRDefault="004B3DA2" w:rsidP="00EC109C"/>
          <w:p w14:paraId="1D8DE6B1" w14:textId="2299D354" w:rsidR="004B3DA2" w:rsidRDefault="004B3DA2" w:rsidP="00EC109C"/>
        </w:tc>
        <w:tc>
          <w:tcPr>
            <w:tcW w:w="4541" w:type="dxa"/>
            <w:tcBorders>
              <w:bottom w:val="single" w:sz="4" w:space="0" w:color="auto"/>
            </w:tcBorders>
          </w:tcPr>
          <w:p w14:paraId="67D7D363" w14:textId="57130C6D" w:rsidR="00EC109C" w:rsidRDefault="00566BBF" w:rsidP="00EC109C">
            <w:r>
              <w:rPr>
                <w:noProof/>
              </w:rPr>
              <w:drawing>
                <wp:anchor distT="0" distB="0" distL="114300" distR="114300" simplePos="0" relativeHeight="251658258" behindDoc="0" locked="0" layoutInCell="1" allowOverlap="1" wp14:anchorId="10D08E4A" wp14:editId="68F0D25B">
                  <wp:simplePos x="0" y="0"/>
                  <wp:positionH relativeFrom="column">
                    <wp:posOffset>-65405</wp:posOffset>
                  </wp:positionH>
                  <wp:positionV relativeFrom="paragraph">
                    <wp:posOffset>0</wp:posOffset>
                  </wp:positionV>
                  <wp:extent cx="2870200" cy="2082800"/>
                  <wp:effectExtent l="0" t="0" r="6350" b="0"/>
                  <wp:wrapSquare wrapText="bothSides"/>
                  <wp:docPr id="855360096" name="Chart 1">
                    <a:extLst xmlns:a="http://schemas.openxmlformats.org/drawingml/2006/main">
                      <a:ext uri="{FF2B5EF4-FFF2-40B4-BE49-F238E27FC236}">
                        <a16:creationId xmlns:a16="http://schemas.microsoft.com/office/drawing/2014/main" id="{BDBC1BDE-48CE-0194-5A01-81625504A4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tc>
        <w:tc>
          <w:tcPr>
            <w:tcW w:w="1276" w:type="dxa"/>
            <w:tcBorders>
              <w:bottom w:val="single" w:sz="4" w:space="0" w:color="auto"/>
            </w:tcBorders>
          </w:tcPr>
          <w:p w14:paraId="39B631C7" w14:textId="3FCC66BB" w:rsidR="00EC109C" w:rsidRDefault="00EC109C" w:rsidP="00EC109C">
            <w:pPr>
              <w:jc w:val="center"/>
            </w:pPr>
            <w:proofErr w:type="gramStart"/>
            <w:r>
              <w:t>3</w:t>
            </w:r>
            <w:r w:rsidR="007810FB">
              <w:t>1</w:t>
            </w:r>
            <w:r w:rsidRPr="00D37EC7">
              <w:rPr>
                <w:vertAlign w:val="superscript"/>
              </w:rPr>
              <w:t>th</w:t>
            </w:r>
            <w:proofErr w:type="gramEnd"/>
          </w:p>
          <w:p w14:paraId="1DA069D9" w14:textId="77777777" w:rsidR="00EC109C" w:rsidRDefault="00EC109C" w:rsidP="00EC109C">
            <w:pPr>
              <w:jc w:val="center"/>
            </w:pPr>
          </w:p>
          <w:p w14:paraId="2E097968" w14:textId="77777777" w:rsidR="00EC109C" w:rsidRDefault="00EC109C" w:rsidP="00EC109C">
            <w:pPr>
              <w:jc w:val="center"/>
            </w:pPr>
          </w:p>
          <w:p w14:paraId="3C8360E0" w14:textId="77777777" w:rsidR="00EC109C" w:rsidRDefault="00EC109C" w:rsidP="00EC109C">
            <w:pPr>
              <w:jc w:val="center"/>
            </w:pPr>
          </w:p>
          <w:p w14:paraId="17283FE7" w14:textId="77777777" w:rsidR="00EC109C" w:rsidRDefault="00EC109C" w:rsidP="00EC109C">
            <w:pPr>
              <w:jc w:val="center"/>
            </w:pPr>
          </w:p>
          <w:p w14:paraId="7E28422D" w14:textId="77777777" w:rsidR="00EC109C" w:rsidRDefault="00EC109C" w:rsidP="00EC109C">
            <w:pPr>
              <w:jc w:val="center"/>
            </w:pPr>
          </w:p>
          <w:p w14:paraId="697FC091" w14:textId="77777777" w:rsidR="00EC109C" w:rsidRDefault="00EC109C" w:rsidP="00EC109C">
            <w:pPr>
              <w:jc w:val="center"/>
            </w:pPr>
          </w:p>
          <w:p w14:paraId="650B5D34" w14:textId="77777777" w:rsidR="00EC109C" w:rsidRDefault="00EC109C" w:rsidP="00EC109C">
            <w:pPr>
              <w:jc w:val="center"/>
            </w:pPr>
          </w:p>
          <w:p w14:paraId="00038EA1" w14:textId="77777777" w:rsidR="00EC109C" w:rsidRDefault="00EC109C" w:rsidP="00EC109C">
            <w:pPr>
              <w:jc w:val="center"/>
            </w:pPr>
          </w:p>
          <w:p w14:paraId="238357D5" w14:textId="77777777" w:rsidR="00EC109C" w:rsidRDefault="00EC109C" w:rsidP="00EC109C">
            <w:pPr>
              <w:jc w:val="center"/>
            </w:pPr>
          </w:p>
          <w:p w14:paraId="00CD59B4" w14:textId="77777777" w:rsidR="00EC109C" w:rsidRDefault="00EC109C" w:rsidP="00EC109C">
            <w:pPr>
              <w:jc w:val="center"/>
            </w:pPr>
          </w:p>
          <w:p w14:paraId="60F70F17" w14:textId="77777777" w:rsidR="00EC109C" w:rsidRDefault="00EC109C" w:rsidP="00EC109C">
            <w:pPr>
              <w:jc w:val="center"/>
            </w:pPr>
          </w:p>
          <w:p w14:paraId="010ACC80" w14:textId="77777777" w:rsidR="00EC109C" w:rsidRDefault="00EC109C" w:rsidP="00EC109C">
            <w:pPr>
              <w:jc w:val="center"/>
            </w:pPr>
          </w:p>
          <w:p w14:paraId="1653F763" w14:textId="77777777" w:rsidR="00EC109C" w:rsidRDefault="00EC109C" w:rsidP="00EC109C">
            <w:pPr>
              <w:jc w:val="center"/>
            </w:pPr>
          </w:p>
          <w:p w14:paraId="2E463CE0" w14:textId="77777777" w:rsidR="00EC109C" w:rsidRDefault="00EC109C" w:rsidP="00EC109C">
            <w:pPr>
              <w:jc w:val="center"/>
            </w:pPr>
          </w:p>
          <w:p w14:paraId="579A2D49" w14:textId="77777777" w:rsidR="00EC109C" w:rsidRDefault="00EC109C" w:rsidP="00EC109C">
            <w:pPr>
              <w:jc w:val="center"/>
            </w:pPr>
          </w:p>
          <w:p w14:paraId="2403CEE2" w14:textId="77777777" w:rsidR="00EC109C" w:rsidRDefault="00EC109C" w:rsidP="00345300"/>
        </w:tc>
        <w:tc>
          <w:tcPr>
            <w:tcW w:w="1134" w:type="dxa"/>
            <w:tcBorders>
              <w:bottom w:val="single" w:sz="4" w:space="0" w:color="auto"/>
            </w:tcBorders>
          </w:tcPr>
          <w:p w14:paraId="412468C7" w14:textId="366FD644" w:rsidR="00EC109C" w:rsidRDefault="00EC109C" w:rsidP="00EC109C">
            <w:pPr>
              <w:jc w:val="center"/>
            </w:pPr>
            <w:r>
              <w:t>8th</w:t>
            </w:r>
          </w:p>
        </w:tc>
        <w:tc>
          <w:tcPr>
            <w:tcW w:w="1134" w:type="dxa"/>
            <w:tcBorders>
              <w:bottom w:val="single" w:sz="4" w:space="0" w:color="auto"/>
            </w:tcBorders>
          </w:tcPr>
          <w:p w14:paraId="2CD4685F" w14:textId="52C43C77" w:rsidR="00EC109C" w:rsidRDefault="00EC109C" w:rsidP="00EC109C">
            <w:pPr>
              <w:jc w:val="center"/>
            </w:pPr>
            <w:r>
              <w:t>3rd</w:t>
            </w:r>
          </w:p>
        </w:tc>
      </w:tr>
      <w:tr w:rsidR="00F82DBA" w14:paraId="69D18CDC" w14:textId="77777777" w:rsidTr="00DD3EE4">
        <w:trPr>
          <w:jc w:val="center"/>
        </w:trPr>
        <w:tc>
          <w:tcPr>
            <w:tcW w:w="1980" w:type="dxa"/>
            <w:tcBorders>
              <w:bottom w:val="single" w:sz="4" w:space="0" w:color="auto"/>
            </w:tcBorders>
          </w:tcPr>
          <w:p w14:paraId="7E845B4E" w14:textId="77777777" w:rsidR="00F82DBA" w:rsidRDefault="00F82DBA" w:rsidP="00F82DBA">
            <w:pPr>
              <w:rPr>
                <w:b/>
              </w:rPr>
            </w:pPr>
            <w:r w:rsidRPr="0091398E">
              <w:rPr>
                <w:b/>
              </w:rPr>
              <w:t>15. % of last 6 months of life spent at home or in a community setting</w:t>
            </w:r>
          </w:p>
        </w:tc>
        <w:tc>
          <w:tcPr>
            <w:tcW w:w="2693" w:type="dxa"/>
            <w:tcBorders>
              <w:bottom w:val="single" w:sz="4" w:space="0" w:color="auto"/>
            </w:tcBorders>
          </w:tcPr>
          <w:p w14:paraId="36AFB666" w14:textId="773C43D5" w:rsidR="00F82DBA" w:rsidRDefault="00F82DBA" w:rsidP="00F82DBA">
            <w:pPr>
              <w:rPr>
                <w:noProof/>
              </w:rPr>
            </w:pPr>
            <w:r>
              <w:rPr>
                <w:noProof/>
              </w:rPr>
              <w:t>Up from 88.8% in 2017/18 to 90.</w:t>
            </w:r>
            <w:r w:rsidR="007810FB">
              <w:rPr>
                <w:noProof/>
              </w:rPr>
              <w:t>7</w:t>
            </w:r>
            <w:r>
              <w:rPr>
                <w:noProof/>
              </w:rPr>
              <w:t>%  in 202</w:t>
            </w:r>
            <w:r w:rsidR="007810FB">
              <w:rPr>
                <w:noProof/>
              </w:rPr>
              <w:t>3</w:t>
            </w:r>
            <w:r w:rsidR="008112E7">
              <w:rPr>
                <w:noProof/>
              </w:rPr>
              <w:t>.</w:t>
            </w:r>
            <w:r>
              <w:rPr>
                <w:noProof/>
              </w:rPr>
              <w:t xml:space="preserve"> (improvement)</w:t>
            </w:r>
          </w:p>
        </w:tc>
        <w:tc>
          <w:tcPr>
            <w:tcW w:w="3686" w:type="dxa"/>
            <w:tcBorders>
              <w:bottom w:val="single" w:sz="4" w:space="0" w:color="auto"/>
            </w:tcBorders>
          </w:tcPr>
          <w:p w14:paraId="0DF532A9" w14:textId="5E033C83" w:rsidR="00F82DBA" w:rsidRDefault="00F82DBA" w:rsidP="00F82DBA">
            <w:pPr>
              <w:rPr>
                <w:noProof/>
              </w:rPr>
            </w:pPr>
            <w:r>
              <w:rPr>
                <w:noProof/>
              </w:rPr>
              <w:t>Not Available</w:t>
            </w:r>
            <w:r w:rsidR="008112E7">
              <w:rPr>
                <w:noProof/>
              </w:rPr>
              <w:t>.</w:t>
            </w:r>
          </w:p>
        </w:tc>
        <w:tc>
          <w:tcPr>
            <w:tcW w:w="4541" w:type="dxa"/>
            <w:tcBorders>
              <w:bottom w:val="single" w:sz="4" w:space="0" w:color="auto"/>
            </w:tcBorders>
          </w:tcPr>
          <w:p w14:paraId="12A53B70" w14:textId="010644F0" w:rsidR="00F82DBA" w:rsidRDefault="00DD3EE4" w:rsidP="00F82DBA">
            <w:pPr>
              <w:rPr>
                <w:noProof/>
              </w:rPr>
            </w:pPr>
            <w:r>
              <w:rPr>
                <w:noProof/>
              </w:rPr>
              <w:drawing>
                <wp:inline distT="0" distB="0" distL="0" distR="0" wp14:anchorId="688F5B5D" wp14:editId="475CF8A0">
                  <wp:extent cx="2746375" cy="1647825"/>
                  <wp:effectExtent l="0" t="0" r="0" b="0"/>
                  <wp:docPr id="1244892500" name="Chart 1">
                    <a:extLst xmlns:a="http://schemas.openxmlformats.org/drawingml/2006/main">
                      <a:ext uri="{FF2B5EF4-FFF2-40B4-BE49-F238E27FC236}">
                        <a16:creationId xmlns:a16="http://schemas.microsoft.com/office/drawing/2014/main" id="{B7865C46-0E2D-8473-D7AA-89B1D14E81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c>
          <w:tcPr>
            <w:tcW w:w="1276" w:type="dxa"/>
            <w:tcBorders>
              <w:bottom w:val="single" w:sz="4" w:space="0" w:color="auto"/>
            </w:tcBorders>
          </w:tcPr>
          <w:p w14:paraId="67E5FA72" w14:textId="3109A246" w:rsidR="00F82DBA" w:rsidRDefault="007810FB" w:rsidP="00F82DBA">
            <w:pPr>
              <w:jc w:val="center"/>
            </w:pPr>
            <w:r>
              <w:t>5</w:t>
            </w:r>
            <w:r w:rsidR="00F82DBA">
              <w:t>th</w:t>
            </w:r>
          </w:p>
        </w:tc>
        <w:tc>
          <w:tcPr>
            <w:tcW w:w="1134" w:type="dxa"/>
            <w:tcBorders>
              <w:bottom w:val="single" w:sz="4" w:space="0" w:color="auto"/>
            </w:tcBorders>
          </w:tcPr>
          <w:p w14:paraId="7CC5E18B" w14:textId="22635B5C" w:rsidR="00F82DBA" w:rsidRDefault="007810FB" w:rsidP="00F82DBA">
            <w:pPr>
              <w:jc w:val="center"/>
            </w:pPr>
            <w:r>
              <w:t>2nd</w:t>
            </w:r>
          </w:p>
        </w:tc>
        <w:tc>
          <w:tcPr>
            <w:tcW w:w="1134" w:type="dxa"/>
            <w:tcBorders>
              <w:bottom w:val="single" w:sz="4" w:space="0" w:color="auto"/>
            </w:tcBorders>
          </w:tcPr>
          <w:p w14:paraId="4E6A948C" w14:textId="3C76D8CD" w:rsidR="00F82DBA" w:rsidRDefault="00F82DBA" w:rsidP="00F82DBA">
            <w:pPr>
              <w:jc w:val="center"/>
            </w:pPr>
            <w:r>
              <w:t>2nd</w:t>
            </w:r>
          </w:p>
        </w:tc>
      </w:tr>
      <w:tr w:rsidR="00F82DBA" w14:paraId="62A59889" w14:textId="77777777" w:rsidTr="00143912">
        <w:trPr>
          <w:trHeight w:val="1410"/>
          <w:jc w:val="center"/>
        </w:trPr>
        <w:tc>
          <w:tcPr>
            <w:tcW w:w="1980" w:type="dxa"/>
            <w:tcBorders>
              <w:bottom w:val="single" w:sz="4" w:space="0" w:color="auto"/>
            </w:tcBorders>
          </w:tcPr>
          <w:p w14:paraId="2715B122" w14:textId="77777777" w:rsidR="00F82DBA" w:rsidRPr="00321072" w:rsidRDefault="00F82DBA" w:rsidP="00F82DBA">
            <w:pPr>
              <w:rPr>
                <w:highlight w:val="yellow"/>
              </w:rPr>
            </w:pPr>
            <w:r w:rsidRPr="0091398E">
              <w:rPr>
                <w:b/>
              </w:rPr>
              <w:t>16. Hospital admissions due to falls rate per 1,000 65+</w:t>
            </w:r>
          </w:p>
        </w:tc>
        <w:tc>
          <w:tcPr>
            <w:tcW w:w="2693" w:type="dxa"/>
            <w:tcBorders>
              <w:bottom w:val="single" w:sz="4" w:space="0" w:color="auto"/>
            </w:tcBorders>
          </w:tcPr>
          <w:p w14:paraId="06393DB2" w14:textId="6B76A897" w:rsidR="00F82DBA" w:rsidRDefault="00E05232" w:rsidP="00F82DBA">
            <w:pPr>
              <w:rPr>
                <w:noProof/>
              </w:rPr>
            </w:pPr>
            <w:r>
              <w:rPr>
                <w:noProof/>
              </w:rPr>
              <w:drawing>
                <wp:anchor distT="0" distB="0" distL="114300" distR="114300" simplePos="0" relativeHeight="251658255" behindDoc="0" locked="0" layoutInCell="1" allowOverlap="1" wp14:anchorId="422EA59C" wp14:editId="54BAFE2C">
                  <wp:simplePos x="0" y="0"/>
                  <wp:positionH relativeFrom="column">
                    <wp:posOffset>-4445</wp:posOffset>
                  </wp:positionH>
                  <wp:positionV relativeFrom="paragraph">
                    <wp:posOffset>0</wp:posOffset>
                  </wp:positionV>
                  <wp:extent cx="1800225" cy="1409700"/>
                  <wp:effectExtent l="0" t="0" r="0" b="0"/>
                  <wp:wrapSquare wrapText="bothSides"/>
                  <wp:docPr id="2092205992" name="Chart 1">
                    <a:extLst xmlns:a="http://schemas.openxmlformats.org/drawingml/2006/main">
                      <a:ext uri="{FF2B5EF4-FFF2-40B4-BE49-F238E27FC236}">
                        <a16:creationId xmlns:a16="http://schemas.microsoft.com/office/drawing/2014/main" id="{BC7407C4-7846-4570-B354-781F40AC5B1C}"/>
                      </a:ext>
                      <a:ext uri="{147F2762-F138-4A5C-976F-8EAC2B608ADB}">
                        <a16:predDERef xmlns:a16="http://schemas.microsoft.com/office/drawing/2014/main" pre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42049C9C" w14:textId="77777777" w:rsidR="00F82DBA" w:rsidRDefault="00F82DBA" w:rsidP="00F82DBA">
            <w:r>
              <w:t xml:space="preserve">The rate of admissions </w:t>
            </w:r>
            <w:r w:rsidR="00751D08">
              <w:t>has increased by</w:t>
            </w:r>
            <w:r>
              <w:t xml:space="preserve"> </w:t>
            </w:r>
            <w:r w:rsidR="007D3B34">
              <w:t>20</w:t>
            </w:r>
            <w:r>
              <w:t>% Q</w:t>
            </w:r>
            <w:r w:rsidR="007D3B34">
              <w:t>4</w:t>
            </w:r>
            <w:r>
              <w:t xml:space="preserve"> 23-24 </w:t>
            </w:r>
            <w:r w:rsidR="0026754B">
              <w:t>from</w:t>
            </w:r>
            <w:r>
              <w:t xml:space="preserve"> the 2018-19 baseline.  This equates to an increase of 1</w:t>
            </w:r>
            <w:r w:rsidR="00EF218C">
              <w:t>68</w:t>
            </w:r>
            <w:r>
              <w:t xml:space="preserve"> fall related hospital admissions. The greatest increase (deterioration) in the number of falls was in </w:t>
            </w:r>
            <w:proofErr w:type="spellStart"/>
            <w:r>
              <w:t>Lochee</w:t>
            </w:r>
            <w:proofErr w:type="spellEnd"/>
            <w:r>
              <w:t xml:space="preserve"> with a </w:t>
            </w:r>
            <w:r w:rsidR="000401E8" w:rsidRPr="007D0430">
              <w:t>91</w:t>
            </w:r>
            <w:r w:rsidRPr="007D0430">
              <w:t xml:space="preserve">% </w:t>
            </w:r>
            <w:r w:rsidRPr="00294827">
              <w:t xml:space="preserve">increase </w:t>
            </w:r>
            <w:r>
              <w:t>(7</w:t>
            </w:r>
            <w:r w:rsidR="00B53321">
              <w:t>9</w:t>
            </w:r>
            <w:r>
              <w:t xml:space="preserve"> fall related admissions) (deterioration).</w:t>
            </w:r>
          </w:p>
          <w:p w14:paraId="75DBA1D9" w14:textId="77777777" w:rsidR="00143912" w:rsidRDefault="00143912" w:rsidP="00F82DBA"/>
          <w:p w14:paraId="0AFA2124" w14:textId="77777777" w:rsidR="00143912" w:rsidRDefault="00143912" w:rsidP="00F82DBA"/>
          <w:p w14:paraId="07B81DC1" w14:textId="77777777" w:rsidR="00143912" w:rsidRDefault="00143912" w:rsidP="00F82DBA"/>
          <w:p w14:paraId="463021E6" w14:textId="77777777" w:rsidR="00143912" w:rsidRDefault="00143912" w:rsidP="00F82DBA"/>
          <w:p w14:paraId="451D22FE" w14:textId="77777777" w:rsidR="00143912" w:rsidRDefault="00143912" w:rsidP="00F82DBA"/>
          <w:p w14:paraId="2E7F8722" w14:textId="77777777" w:rsidR="00143912" w:rsidRDefault="00143912" w:rsidP="00F82DBA"/>
          <w:p w14:paraId="78DE9A2C" w14:textId="77777777" w:rsidR="00143912" w:rsidRDefault="00143912" w:rsidP="00F82DBA"/>
          <w:p w14:paraId="7E0D2740" w14:textId="77777777" w:rsidR="00143912" w:rsidRDefault="00143912" w:rsidP="00F82DBA"/>
          <w:p w14:paraId="1337D556" w14:textId="77777777" w:rsidR="00143912" w:rsidRDefault="00143912" w:rsidP="00F82DBA"/>
          <w:p w14:paraId="7C89A016" w14:textId="77777777" w:rsidR="00143912" w:rsidRDefault="00143912" w:rsidP="00F82DBA"/>
          <w:p w14:paraId="1DCCF378" w14:textId="77777777" w:rsidR="00143912" w:rsidRDefault="00143912" w:rsidP="00F82DBA"/>
          <w:p w14:paraId="0760EC9E" w14:textId="77777777" w:rsidR="00143912" w:rsidRDefault="00143912" w:rsidP="00F82DBA"/>
          <w:p w14:paraId="4B426BD0" w14:textId="77777777" w:rsidR="00143912" w:rsidRDefault="00143912" w:rsidP="00F82DBA"/>
          <w:p w14:paraId="79BAA10B" w14:textId="77777777" w:rsidR="00143912" w:rsidRDefault="00143912" w:rsidP="00F82DBA"/>
          <w:p w14:paraId="0CFC8966" w14:textId="219FDAF2" w:rsidR="00143912" w:rsidRDefault="00143912" w:rsidP="00F82DBA"/>
        </w:tc>
        <w:tc>
          <w:tcPr>
            <w:tcW w:w="3686" w:type="dxa"/>
            <w:tcBorders>
              <w:bottom w:val="single" w:sz="4" w:space="0" w:color="auto"/>
            </w:tcBorders>
          </w:tcPr>
          <w:p w14:paraId="24A3B984" w14:textId="3B1A81E9" w:rsidR="00F82DBA" w:rsidRDefault="007F4D5D" w:rsidP="00F82DBA">
            <w:r>
              <w:rPr>
                <w:noProof/>
              </w:rPr>
              <w:drawing>
                <wp:anchor distT="0" distB="0" distL="114300" distR="114300" simplePos="0" relativeHeight="251658256" behindDoc="0" locked="0" layoutInCell="1" allowOverlap="1" wp14:anchorId="02F6A5E9" wp14:editId="24B5B4FA">
                  <wp:simplePos x="0" y="0"/>
                  <wp:positionH relativeFrom="column">
                    <wp:posOffset>0</wp:posOffset>
                  </wp:positionH>
                  <wp:positionV relativeFrom="paragraph">
                    <wp:posOffset>0</wp:posOffset>
                  </wp:positionV>
                  <wp:extent cx="2257425" cy="1457325"/>
                  <wp:effectExtent l="0" t="0" r="0" b="0"/>
                  <wp:wrapSquare wrapText="bothSides"/>
                  <wp:docPr id="1923645241" name="Chart 1">
                    <a:extLst xmlns:a="http://schemas.openxmlformats.org/drawingml/2006/main">
                      <a:ext uri="{FF2B5EF4-FFF2-40B4-BE49-F238E27FC236}">
                        <a16:creationId xmlns:a16="http://schemas.microsoft.com/office/drawing/2014/main" id="{7B151EEC-067B-4E40-8231-B9A91050889A}"/>
                      </a:ext>
                      <a:ext uri="{147F2762-F138-4A5C-976F-8EAC2B608ADB}">
                        <a16:predDERef xmlns:a16="http://schemas.microsoft.com/office/drawing/2014/main" pred="{84860261-5DEF-4AAA-83D2-161043CB21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p>
          <w:p w14:paraId="4F2FBC23" w14:textId="64499D60" w:rsidR="00F82DBA" w:rsidRDefault="007F4D5D" w:rsidP="00F82DBA">
            <w:r>
              <w:t>Continuing i</w:t>
            </w:r>
            <w:r w:rsidR="00F82DBA">
              <w:t>ncrease in the rate</w:t>
            </w:r>
            <w:r w:rsidR="004A76E4">
              <w:t xml:space="preserve"> of fall related admissions</w:t>
            </w:r>
            <w:r w:rsidR="00F82DBA">
              <w:t xml:space="preserve"> over the last </w:t>
            </w:r>
            <w:r>
              <w:t>4</w:t>
            </w:r>
            <w:r w:rsidR="00F82DBA">
              <w:t xml:space="preserve"> quarters</w:t>
            </w:r>
            <w:r>
              <w:t>.</w:t>
            </w:r>
          </w:p>
        </w:tc>
        <w:tc>
          <w:tcPr>
            <w:tcW w:w="4541" w:type="dxa"/>
            <w:tcBorders>
              <w:bottom w:val="single" w:sz="4" w:space="0" w:color="auto"/>
            </w:tcBorders>
          </w:tcPr>
          <w:p w14:paraId="75515963" w14:textId="536ABB09" w:rsidR="00F82DBA" w:rsidRDefault="00965101" w:rsidP="00F82DBA">
            <w:r>
              <w:rPr>
                <w:noProof/>
              </w:rPr>
              <w:drawing>
                <wp:anchor distT="0" distB="0" distL="114300" distR="114300" simplePos="0" relativeHeight="251658257" behindDoc="0" locked="0" layoutInCell="1" allowOverlap="1" wp14:anchorId="40963969" wp14:editId="69ECB03D">
                  <wp:simplePos x="0" y="0"/>
                  <wp:positionH relativeFrom="column">
                    <wp:posOffset>-65405</wp:posOffset>
                  </wp:positionH>
                  <wp:positionV relativeFrom="paragraph">
                    <wp:posOffset>0</wp:posOffset>
                  </wp:positionV>
                  <wp:extent cx="2905125" cy="2209800"/>
                  <wp:effectExtent l="0" t="0" r="0" b="0"/>
                  <wp:wrapSquare wrapText="bothSides"/>
                  <wp:docPr id="989576877" name="Chart 1">
                    <a:extLst xmlns:a="http://schemas.openxmlformats.org/drawingml/2006/main">
                      <a:ext uri="{FF2B5EF4-FFF2-40B4-BE49-F238E27FC236}">
                        <a16:creationId xmlns:a16="http://schemas.microsoft.com/office/drawing/2014/main" id="{5ED5A393-2C77-4AFF-8164-27259BB512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p>
        </w:tc>
        <w:tc>
          <w:tcPr>
            <w:tcW w:w="1276" w:type="dxa"/>
            <w:tcBorders>
              <w:bottom w:val="single" w:sz="4" w:space="0" w:color="auto"/>
            </w:tcBorders>
          </w:tcPr>
          <w:p w14:paraId="4CDF2087" w14:textId="5AD4E543" w:rsidR="00F82DBA" w:rsidRDefault="00F82DBA" w:rsidP="00F82DBA">
            <w:pPr>
              <w:jc w:val="center"/>
            </w:pPr>
            <w:r>
              <w:t>31st</w:t>
            </w:r>
          </w:p>
        </w:tc>
        <w:tc>
          <w:tcPr>
            <w:tcW w:w="1134" w:type="dxa"/>
            <w:tcBorders>
              <w:bottom w:val="single" w:sz="4" w:space="0" w:color="auto"/>
            </w:tcBorders>
          </w:tcPr>
          <w:p w14:paraId="26EFB4BC" w14:textId="3F690109" w:rsidR="00F82DBA" w:rsidRDefault="00F82DBA" w:rsidP="00F82DBA">
            <w:pPr>
              <w:jc w:val="center"/>
            </w:pPr>
            <w:r>
              <w:t>8th</w:t>
            </w:r>
          </w:p>
        </w:tc>
        <w:tc>
          <w:tcPr>
            <w:tcW w:w="1134" w:type="dxa"/>
            <w:tcBorders>
              <w:bottom w:val="single" w:sz="4" w:space="0" w:color="auto"/>
            </w:tcBorders>
          </w:tcPr>
          <w:p w14:paraId="54F55408" w14:textId="15464556" w:rsidR="00F82DBA" w:rsidRDefault="00F82DBA" w:rsidP="00F82DBA">
            <w:pPr>
              <w:jc w:val="center"/>
            </w:pPr>
            <w:r>
              <w:t>3rd</w:t>
            </w:r>
          </w:p>
        </w:tc>
      </w:tr>
      <w:tr w:rsidR="00143912" w14:paraId="7F2C691B" w14:textId="77777777" w:rsidTr="00143912">
        <w:trPr>
          <w:jc w:val="center"/>
        </w:trPr>
        <w:tc>
          <w:tcPr>
            <w:tcW w:w="1980" w:type="dxa"/>
            <w:tcBorders>
              <w:bottom w:val="single" w:sz="4" w:space="0" w:color="auto"/>
            </w:tcBorders>
            <w:shd w:val="clear" w:color="auto" w:fill="BFBFBF" w:themeFill="background1" w:themeFillShade="BF"/>
          </w:tcPr>
          <w:p w14:paraId="19326ED8" w14:textId="19E597AA" w:rsidR="00143912" w:rsidRPr="00321072" w:rsidRDefault="00143912" w:rsidP="00143912">
            <w:pPr>
              <w:rPr>
                <w:b/>
                <w:highlight w:val="yellow"/>
              </w:rPr>
            </w:pPr>
            <w:r w:rsidRPr="00727A3D">
              <w:rPr>
                <w:b/>
              </w:rPr>
              <w:t>National Indicator</w:t>
            </w:r>
          </w:p>
        </w:tc>
        <w:tc>
          <w:tcPr>
            <w:tcW w:w="2693" w:type="dxa"/>
            <w:tcBorders>
              <w:bottom w:val="single" w:sz="4" w:space="0" w:color="auto"/>
            </w:tcBorders>
            <w:shd w:val="clear" w:color="auto" w:fill="BFBFBF" w:themeFill="background1" w:themeFillShade="BF"/>
          </w:tcPr>
          <w:p w14:paraId="3ED32431" w14:textId="17F81CC4" w:rsidR="00143912" w:rsidRDefault="00143912" w:rsidP="00143912">
            <w:pPr>
              <w:rPr>
                <w:noProof/>
              </w:rPr>
            </w:pPr>
            <w:r w:rsidRPr="00727A3D">
              <w:rPr>
                <w:b/>
              </w:rPr>
              <w:t xml:space="preserve">Difference From </w:t>
            </w:r>
            <w:r>
              <w:rPr>
                <w:b/>
              </w:rPr>
              <w:t>18-19</w:t>
            </w:r>
            <w:r w:rsidRPr="00727A3D">
              <w:rPr>
                <w:b/>
              </w:rPr>
              <w:t xml:space="preserve"> Baseline</w:t>
            </w:r>
          </w:p>
        </w:tc>
        <w:tc>
          <w:tcPr>
            <w:tcW w:w="3686" w:type="dxa"/>
            <w:tcBorders>
              <w:bottom w:val="single" w:sz="4" w:space="0" w:color="auto"/>
            </w:tcBorders>
            <w:shd w:val="clear" w:color="auto" w:fill="BFBFBF" w:themeFill="background1" w:themeFillShade="BF"/>
          </w:tcPr>
          <w:p w14:paraId="45204FD4" w14:textId="1DC8A607" w:rsidR="00143912" w:rsidRDefault="00143912" w:rsidP="00143912">
            <w:pPr>
              <w:rPr>
                <w:noProof/>
              </w:rPr>
            </w:pPr>
            <w:r>
              <w:rPr>
                <w:b/>
              </w:rPr>
              <w:t xml:space="preserve">Dundee </w:t>
            </w:r>
            <w:r w:rsidRPr="00727A3D">
              <w:rPr>
                <w:b/>
              </w:rPr>
              <w:t>Short Term Trend (last 4 quarters)</w:t>
            </w:r>
          </w:p>
        </w:tc>
        <w:tc>
          <w:tcPr>
            <w:tcW w:w="4541" w:type="dxa"/>
            <w:tcBorders>
              <w:bottom w:val="single" w:sz="4" w:space="0" w:color="auto"/>
            </w:tcBorders>
            <w:shd w:val="clear" w:color="auto" w:fill="BFBFBF" w:themeFill="background1" w:themeFillShade="BF"/>
          </w:tcPr>
          <w:p w14:paraId="03A364AA" w14:textId="5AC9AEC9" w:rsidR="00143912" w:rsidRDefault="00143912" w:rsidP="00143912">
            <w:pPr>
              <w:rPr>
                <w:noProof/>
              </w:rPr>
            </w:pPr>
            <w:r w:rsidRPr="00727A3D">
              <w:rPr>
                <w:b/>
              </w:rPr>
              <w:t>Long Term Trend</w:t>
            </w:r>
          </w:p>
        </w:tc>
        <w:tc>
          <w:tcPr>
            <w:tcW w:w="1276" w:type="dxa"/>
            <w:tcBorders>
              <w:bottom w:val="single" w:sz="4" w:space="0" w:color="auto"/>
            </w:tcBorders>
            <w:shd w:val="clear" w:color="auto" w:fill="BFBFBF" w:themeFill="background1" w:themeFillShade="BF"/>
          </w:tcPr>
          <w:p w14:paraId="5D1E406D" w14:textId="77777777" w:rsidR="00143912" w:rsidRDefault="00143912" w:rsidP="00143912">
            <w:pPr>
              <w:jc w:val="center"/>
              <w:rPr>
                <w:b/>
              </w:rPr>
            </w:pPr>
            <w:r>
              <w:rPr>
                <w:b/>
              </w:rPr>
              <w:t>Scotland Position</w:t>
            </w:r>
          </w:p>
          <w:p w14:paraId="2E598FC5" w14:textId="6C9A7341" w:rsidR="00143912" w:rsidRDefault="00143912" w:rsidP="00143912">
            <w:pPr>
              <w:jc w:val="center"/>
            </w:pPr>
            <w:r>
              <w:rPr>
                <w:b/>
              </w:rPr>
              <w:t>1= best, 31 = worst</w:t>
            </w:r>
          </w:p>
        </w:tc>
        <w:tc>
          <w:tcPr>
            <w:tcW w:w="1134" w:type="dxa"/>
            <w:tcBorders>
              <w:bottom w:val="single" w:sz="4" w:space="0" w:color="auto"/>
            </w:tcBorders>
            <w:shd w:val="clear" w:color="auto" w:fill="BFBFBF" w:themeFill="background1" w:themeFillShade="BF"/>
          </w:tcPr>
          <w:p w14:paraId="6BF2D44F" w14:textId="77777777" w:rsidR="00143912" w:rsidRDefault="00143912" w:rsidP="00143912">
            <w:pPr>
              <w:jc w:val="center"/>
              <w:rPr>
                <w:b/>
              </w:rPr>
            </w:pPr>
            <w:r w:rsidRPr="00727A3D">
              <w:rPr>
                <w:b/>
              </w:rPr>
              <w:t>Family Group Position</w:t>
            </w:r>
          </w:p>
          <w:p w14:paraId="3CED5361" w14:textId="5DC7C313" w:rsidR="00143912" w:rsidRDefault="00143912" w:rsidP="00143912">
            <w:pPr>
              <w:jc w:val="center"/>
            </w:pPr>
            <w:r>
              <w:rPr>
                <w:b/>
              </w:rPr>
              <w:t>1= best, 8 = worst</w:t>
            </w:r>
          </w:p>
        </w:tc>
        <w:tc>
          <w:tcPr>
            <w:tcW w:w="1134" w:type="dxa"/>
            <w:tcBorders>
              <w:bottom w:val="single" w:sz="4" w:space="0" w:color="auto"/>
            </w:tcBorders>
            <w:shd w:val="clear" w:color="auto" w:fill="BFBFBF" w:themeFill="background1" w:themeFillShade="BF"/>
          </w:tcPr>
          <w:p w14:paraId="77A48FC5" w14:textId="5E404DE2" w:rsidR="00143912" w:rsidRDefault="00143912" w:rsidP="00143912">
            <w:pPr>
              <w:jc w:val="center"/>
            </w:pPr>
            <w:r w:rsidRPr="00727A3D">
              <w:rPr>
                <w:b/>
              </w:rPr>
              <w:t>Tayside Group Position</w:t>
            </w:r>
            <w:r>
              <w:rPr>
                <w:b/>
              </w:rPr>
              <w:t xml:space="preserve"> 1= best, 3 = worst</w:t>
            </w:r>
          </w:p>
        </w:tc>
      </w:tr>
      <w:tr w:rsidR="00143912" w14:paraId="53DFEC8A" w14:textId="77777777" w:rsidTr="0033425C">
        <w:trPr>
          <w:jc w:val="center"/>
        </w:trPr>
        <w:tc>
          <w:tcPr>
            <w:tcW w:w="1980" w:type="dxa"/>
            <w:tcBorders>
              <w:bottom w:val="single" w:sz="4" w:space="0" w:color="auto"/>
            </w:tcBorders>
          </w:tcPr>
          <w:p w14:paraId="189EBAB7" w14:textId="42F6BB5A" w:rsidR="00143912" w:rsidRDefault="00143912" w:rsidP="00143912">
            <w:pPr>
              <w:rPr>
                <w:b/>
              </w:rPr>
            </w:pPr>
            <w:r w:rsidRPr="0091398E">
              <w:rPr>
                <w:b/>
              </w:rPr>
              <w:t>18. % adults with intensive care needs receiving care at home</w:t>
            </w:r>
          </w:p>
          <w:p w14:paraId="1C6DB0E9" w14:textId="77777777" w:rsidR="00143912" w:rsidRDefault="00143912" w:rsidP="00143912">
            <w:pPr>
              <w:rPr>
                <w:b/>
              </w:rPr>
            </w:pPr>
          </w:p>
          <w:p w14:paraId="3728977D" w14:textId="77777777" w:rsidR="00143912" w:rsidRDefault="00143912" w:rsidP="00143912">
            <w:pPr>
              <w:rPr>
                <w:b/>
              </w:rPr>
            </w:pPr>
          </w:p>
          <w:p w14:paraId="35084EDC" w14:textId="77777777" w:rsidR="00143912" w:rsidRDefault="00143912" w:rsidP="00143912">
            <w:pPr>
              <w:rPr>
                <w:b/>
              </w:rPr>
            </w:pPr>
          </w:p>
          <w:p w14:paraId="5077CBB9" w14:textId="77777777" w:rsidR="00143912" w:rsidRDefault="00143912" w:rsidP="00143912">
            <w:pPr>
              <w:rPr>
                <w:b/>
              </w:rPr>
            </w:pPr>
          </w:p>
          <w:p w14:paraId="154E8838" w14:textId="77777777" w:rsidR="00143912" w:rsidRDefault="00143912" w:rsidP="00143912">
            <w:pPr>
              <w:rPr>
                <w:b/>
              </w:rPr>
            </w:pPr>
          </w:p>
          <w:p w14:paraId="438C47B7" w14:textId="77777777" w:rsidR="00143912" w:rsidRDefault="00143912" w:rsidP="00143912">
            <w:pPr>
              <w:rPr>
                <w:b/>
              </w:rPr>
            </w:pPr>
          </w:p>
          <w:p w14:paraId="05F81091" w14:textId="77777777" w:rsidR="00143912" w:rsidRDefault="00143912" w:rsidP="00143912">
            <w:pPr>
              <w:rPr>
                <w:b/>
              </w:rPr>
            </w:pPr>
          </w:p>
          <w:p w14:paraId="566BF09D" w14:textId="77777777" w:rsidR="00143912" w:rsidRDefault="00143912" w:rsidP="00143912">
            <w:pPr>
              <w:rPr>
                <w:b/>
              </w:rPr>
            </w:pPr>
          </w:p>
          <w:p w14:paraId="7C380924" w14:textId="77777777" w:rsidR="00143912" w:rsidRDefault="00143912" w:rsidP="00143912">
            <w:pPr>
              <w:rPr>
                <w:b/>
              </w:rPr>
            </w:pPr>
          </w:p>
          <w:p w14:paraId="4A7691BF" w14:textId="77777777" w:rsidR="00143912" w:rsidRDefault="00143912" w:rsidP="00143912">
            <w:pPr>
              <w:rPr>
                <w:b/>
              </w:rPr>
            </w:pPr>
          </w:p>
          <w:p w14:paraId="50ABABF5" w14:textId="77777777" w:rsidR="00143912" w:rsidRDefault="00143912" w:rsidP="00143912">
            <w:pPr>
              <w:rPr>
                <w:b/>
              </w:rPr>
            </w:pPr>
          </w:p>
          <w:p w14:paraId="00AAE23D" w14:textId="77777777" w:rsidR="00143912" w:rsidRDefault="00143912" w:rsidP="00143912">
            <w:pPr>
              <w:rPr>
                <w:b/>
              </w:rPr>
            </w:pPr>
          </w:p>
          <w:p w14:paraId="2B485CC5" w14:textId="77777777" w:rsidR="00143912" w:rsidRDefault="00143912" w:rsidP="00143912">
            <w:pPr>
              <w:rPr>
                <w:b/>
              </w:rPr>
            </w:pPr>
          </w:p>
        </w:tc>
        <w:tc>
          <w:tcPr>
            <w:tcW w:w="2693" w:type="dxa"/>
            <w:tcBorders>
              <w:bottom w:val="single" w:sz="4" w:space="0" w:color="auto"/>
            </w:tcBorders>
          </w:tcPr>
          <w:p w14:paraId="121BBA8D" w14:textId="339C18DC" w:rsidR="00143912" w:rsidRDefault="00143912" w:rsidP="00143912">
            <w:pPr>
              <w:rPr>
                <w:noProof/>
              </w:rPr>
            </w:pPr>
            <w:r>
              <w:rPr>
                <w:noProof/>
              </w:rPr>
              <w:t>7.4% (155 people) more in 2023 than 2017 (improvement) (note calendar year).</w:t>
            </w:r>
          </w:p>
        </w:tc>
        <w:tc>
          <w:tcPr>
            <w:tcW w:w="3686" w:type="dxa"/>
            <w:tcBorders>
              <w:bottom w:val="single" w:sz="4" w:space="0" w:color="auto"/>
            </w:tcBorders>
          </w:tcPr>
          <w:p w14:paraId="4CD0638D" w14:textId="06728844" w:rsidR="00143912" w:rsidRDefault="00143912" w:rsidP="00143912">
            <w:pPr>
              <w:rPr>
                <w:noProof/>
              </w:rPr>
            </w:pPr>
            <w:r>
              <w:rPr>
                <w:noProof/>
              </w:rPr>
              <w:t>Not Available.</w:t>
            </w:r>
          </w:p>
        </w:tc>
        <w:tc>
          <w:tcPr>
            <w:tcW w:w="4541" w:type="dxa"/>
            <w:tcBorders>
              <w:bottom w:val="single" w:sz="4" w:space="0" w:color="auto"/>
            </w:tcBorders>
          </w:tcPr>
          <w:p w14:paraId="7187F821" w14:textId="07377AFB" w:rsidR="00143912" w:rsidRDefault="00143912" w:rsidP="00143912">
            <w:pPr>
              <w:rPr>
                <w:noProof/>
              </w:rPr>
            </w:pPr>
            <w:r>
              <w:rPr>
                <w:noProof/>
              </w:rPr>
              <w:drawing>
                <wp:inline distT="0" distB="0" distL="0" distR="0" wp14:anchorId="12113827" wp14:editId="3B4497E2">
                  <wp:extent cx="2816027" cy="2009775"/>
                  <wp:effectExtent l="0" t="0" r="3810" b="0"/>
                  <wp:docPr id="1" name="Picture 1" descr="C:\Users\local_shahida.naeem\INetCache\Content.MSO\615D1F8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cal_shahida.naeem\INetCache\Content.MSO\615D1F85.tmp"/>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40737" cy="2027410"/>
                          </a:xfrm>
                          <a:prstGeom prst="rect">
                            <a:avLst/>
                          </a:prstGeom>
                          <a:noFill/>
                          <a:ln>
                            <a:noFill/>
                          </a:ln>
                        </pic:spPr>
                      </pic:pic>
                    </a:graphicData>
                  </a:graphic>
                </wp:inline>
              </w:drawing>
            </w:r>
          </w:p>
        </w:tc>
        <w:tc>
          <w:tcPr>
            <w:tcW w:w="1276" w:type="dxa"/>
            <w:tcBorders>
              <w:bottom w:val="single" w:sz="4" w:space="0" w:color="auto"/>
            </w:tcBorders>
          </w:tcPr>
          <w:p w14:paraId="0846F703" w14:textId="64ADB76F" w:rsidR="00143912" w:rsidRDefault="00143912" w:rsidP="00143912">
            <w:pPr>
              <w:jc w:val="center"/>
            </w:pPr>
            <w:r>
              <w:t>24th</w:t>
            </w:r>
          </w:p>
        </w:tc>
        <w:tc>
          <w:tcPr>
            <w:tcW w:w="1134" w:type="dxa"/>
            <w:tcBorders>
              <w:bottom w:val="single" w:sz="4" w:space="0" w:color="auto"/>
            </w:tcBorders>
          </w:tcPr>
          <w:p w14:paraId="257EECA8" w14:textId="2FDB1C71" w:rsidR="00143912" w:rsidRDefault="00143912" w:rsidP="00143912">
            <w:pPr>
              <w:jc w:val="center"/>
            </w:pPr>
            <w:r>
              <w:t>6th</w:t>
            </w:r>
          </w:p>
        </w:tc>
        <w:tc>
          <w:tcPr>
            <w:tcW w:w="1134" w:type="dxa"/>
            <w:tcBorders>
              <w:bottom w:val="single" w:sz="4" w:space="0" w:color="auto"/>
            </w:tcBorders>
          </w:tcPr>
          <w:p w14:paraId="1149B636" w14:textId="6F4BA84A" w:rsidR="00143912" w:rsidRDefault="00143912" w:rsidP="00143912">
            <w:pPr>
              <w:jc w:val="center"/>
            </w:pPr>
            <w:r>
              <w:t>3rd</w:t>
            </w:r>
          </w:p>
        </w:tc>
      </w:tr>
      <w:tr w:rsidR="00143912" w14:paraId="7BD86B49" w14:textId="77777777" w:rsidTr="00143912">
        <w:trPr>
          <w:jc w:val="center"/>
        </w:trPr>
        <w:tc>
          <w:tcPr>
            <w:tcW w:w="1980" w:type="dxa"/>
            <w:tcBorders>
              <w:bottom w:val="single" w:sz="4" w:space="0" w:color="auto"/>
            </w:tcBorders>
          </w:tcPr>
          <w:p w14:paraId="534F14F5" w14:textId="47EB857A" w:rsidR="00143912" w:rsidRPr="0091398E" w:rsidRDefault="00143912" w:rsidP="00143912">
            <w:pPr>
              <w:rPr>
                <w:b/>
              </w:rPr>
            </w:pPr>
            <w:r w:rsidRPr="0091398E">
              <w:rPr>
                <w:b/>
              </w:rPr>
              <w:t>19.1 Delayed Discharge bed days lost rate per 1,000 75+ (standard)</w:t>
            </w:r>
          </w:p>
        </w:tc>
        <w:tc>
          <w:tcPr>
            <w:tcW w:w="2693" w:type="dxa"/>
            <w:tcBorders>
              <w:bottom w:val="single" w:sz="4" w:space="0" w:color="auto"/>
            </w:tcBorders>
          </w:tcPr>
          <w:p w14:paraId="316C8631" w14:textId="77777777" w:rsidR="00143912" w:rsidRDefault="00143912" w:rsidP="00143912">
            <w:r>
              <w:rPr>
                <w:noProof/>
              </w:rPr>
              <w:drawing>
                <wp:anchor distT="0" distB="0" distL="114300" distR="114300" simplePos="0" relativeHeight="251658259" behindDoc="0" locked="0" layoutInCell="1" allowOverlap="1" wp14:anchorId="2B64DCB8" wp14:editId="7A67171C">
                  <wp:simplePos x="0" y="0"/>
                  <wp:positionH relativeFrom="column">
                    <wp:posOffset>-65405</wp:posOffset>
                  </wp:positionH>
                  <wp:positionV relativeFrom="paragraph">
                    <wp:posOffset>0</wp:posOffset>
                  </wp:positionV>
                  <wp:extent cx="1841500" cy="1400175"/>
                  <wp:effectExtent l="0" t="0" r="6350" b="0"/>
                  <wp:wrapSquare wrapText="bothSides"/>
                  <wp:docPr id="2092588003" name="Chart 1">
                    <a:extLst xmlns:a="http://schemas.openxmlformats.org/drawingml/2006/main">
                      <a:ext uri="{FF2B5EF4-FFF2-40B4-BE49-F238E27FC236}">
                        <a16:creationId xmlns:a16="http://schemas.microsoft.com/office/drawing/2014/main" id="{B4274AE1-2516-107D-8E00-4CF38ACD46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page">
                    <wp14:pctWidth>0</wp14:pctWidth>
                  </wp14:sizeRelH>
                  <wp14:sizeRelV relativeFrom="page">
                    <wp14:pctHeight>0</wp14:pctHeight>
                  </wp14:sizeRelV>
                </wp:anchor>
              </w:drawing>
            </w:r>
            <w:r>
              <w:t>27% increase (deterioration) since 2018/19.</w:t>
            </w:r>
          </w:p>
          <w:p w14:paraId="00BAB7F1" w14:textId="77777777" w:rsidR="00143912" w:rsidRDefault="00143912" w:rsidP="00143912"/>
          <w:p w14:paraId="43176698" w14:textId="77777777" w:rsidR="00143912" w:rsidRDefault="00143912" w:rsidP="00143912"/>
          <w:p w14:paraId="4C7B8C47" w14:textId="77777777" w:rsidR="00143912" w:rsidRDefault="00143912" w:rsidP="00143912"/>
          <w:p w14:paraId="1BE3E16F" w14:textId="77777777" w:rsidR="00143912" w:rsidRDefault="00143912" w:rsidP="00143912">
            <w:pPr>
              <w:rPr>
                <w:noProof/>
              </w:rPr>
            </w:pPr>
          </w:p>
        </w:tc>
        <w:tc>
          <w:tcPr>
            <w:tcW w:w="3686" w:type="dxa"/>
            <w:tcBorders>
              <w:bottom w:val="single" w:sz="4" w:space="0" w:color="auto"/>
            </w:tcBorders>
          </w:tcPr>
          <w:p w14:paraId="23C616E8" w14:textId="77777777" w:rsidR="00143912" w:rsidRDefault="00143912" w:rsidP="00143912">
            <w:r>
              <w:rPr>
                <w:noProof/>
              </w:rPr>
              <w:drawing>
                <wp:anchor distT="0" distB="0" distL="114300" distR="114300" simplePos="0" relativeHeight="251658260" behindDoc="0" locked="0" layoutInCell="1" allowOverlap="1" wp14:anchorId="47A91033" wp14:editId="5C7435DC">
                  <wp:simplePos x="0" y="0"/>
                  <wp:positionH relativeFrom="column">
                    <wp:posOffset>-56515</wp:posOffset>
                  </wp:positionH>
                  <wp:positionV relativeFrom="paragraph">
                    <wp:posOffset>0</wp:posOffset>
                  </wp:positionV>
                  <wp:extent cx="2260600" cy="1263650"/>
                  <wp:effectExtent l="0" t="0" r="6350" b="0"/>
                  <wp:wrapSquare wrapText="bothSides"/>
                  <wp:docPr id="1437967663" name="Chart 1">
                    <a:extLst xmlns:a="http://schemas.openxmlformats.org/drawingml/2006/main">
                      <a:ext uri="{FF2B5EF4-FFF2-40B4-BE49-F238E27FC236}">
                        <a16:creationId xmlns:a16="http://schemas.microsoft.com/office/drawing/2014/main" id="{B4963486-200A-30E3-499D-4B2E0C4F23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p>
          <w:p w14:paraId="016981E6" w14:textId="72E25218" w:rsidR="00143912" w:rsidRDefault="00143912" w:rsidP="00143912">
            <w:r>
              <w:t>Improving trend in the last 2 quarters.</w:t>
            </w:r>
          </w:p>
          <w:p w14:paraId="104C1E6B" w14:textId="77777777" w:rsidR="00143912" w:rsidRDefault="00143912" w:rsidP="00143912">
            <w:pPr>
              <w:rPr>
                <w:noProof/>
              </w:rPr>
            </w:pPr>
          </w:p>
        </w:tc>
        <w:tc>
          <w:tcPr>
            <w:tcW w:w="4541" w:type="dxa"/>
            <w:tcBorders>
              <w:bottom w:val="single" w:sz="4" w:space="0" w:color="auto"/>
            </w:tcBorders>
          </w:tcPr>
          <w:p w14:paraId="5337A019" w14:textId="7E6CE4B3" w:rsidR="00143912" w:rsidRDefault="00143912" w:rsidP="00143912">
            <w:pPr>
              <w:rPr>
                <w:noProof/>
              </w:rPr>
            </w:pPr>
            <w:r>
              <w:rPr>
                <w:noProof/>
              </w:rPr>
              <w:drawing>
                <wp:anchor distT="0" distB="0" distL="114300" distR="114300" simplePos="0" relativeHeight="251658261" behindDoc="0" locked="0" layoutInCell="1" allowOverlap="1" wp14:anchorId="328E9612" wp14:editId="5F253CDD">
                  <wp:simplePos x="0" y="0"/>
                  <wp:positionH relativeFrom="column">
                    <wp:posOffset>-65405</wp:posOffset>
                  </wp:positionH>
                  <wp:positionV relativeFrom="paragraph">
                    <wp:posOffset>0</wp:posOffset>
                  </wp:positionV>
                  <wp:extent cx="2762250" cy="1517650"/>
                  <wp:effectExtent l="0" t="0" r="0" b="6350"/>
                  <wp:wrapSquare wrapText="bothSides"/>
                  <wp:docPr id="432209164" name="Chart 1">
                    <a:extLst xmlns:a="http://schemas.openxmlformats.org/drawingml/2006/main">
                      <a:ext uri="{FF2B5EF4-FFF2-40B4-BE49-F238E27FC236}">
                        <a16:creationId xmlns:a16="http://schemas.microsoft.com/office/drawing/2014/main" id="{F68CF91A-5B26-3ED9-0804-DDC25D87CE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page">
                    <wp14:pctWidth>0</wp14:pctWidth>
                  </wp14:sizeRelH>
                  <wp14:sizeRelV relativeFrom="page">
                    <wp14:pctHeight>0</wp14:pctHeight>
                  </wp14:sizeRelV>
                </wp:anchor>
              </w:drawing>
            </w:r>
          </w:p>
        </w:tc>
        <w:tc>
          <w:tcPr>
            <w:tcW w:w="1276" w:type="dxa"/>
            <w:tcBorders>
              <w:bottom w:val="single" w:sz="4" w:space="0" w:color="auto"/>
            </w:tcBorders>
          </w:tcPr>
          <w:p w14:paraId="1805C5E3" w14:textId="205A6FFB" w:rsidR="00143912" w:rsidRDefault="00143912" w:rsidP="00143912">
            <w:pPr>
              <w:jc w:val="center"/>
            </w:pPr>
            <w:r>
              <w:t>NA</w:t>
            </w:r>
          </w:p>
        </w:tc>
        <w:tc>
          <w:tcPr>
            <w:tcW w:w="1134" w:type="dxa"/>
            <w:tcBorders>
              <w:bottom w:val="single" w:sz="4" w:space="0" w:color="auto"/>
            </w:tcBorders>
          </w:tcPr>
          <w:p w14:paraId="30855109" w14:textId="4886AD1A" w:rsidR="00143912" w:rsidRDefault="00143912" w:rsidP="00143912">
            <w:pPr>
              <w:jc w:val="center"/>
            </w:pPr>
            <w:r>
              <w:t>NA</w:t>
            </w:r>
          </w:p>
        </w:tc>
        <w:tc>
          <w:tcPr>
            <w:tcW w:w="1134" w:type="dxa"/>
            <w:tcBorders>
              <w:bottom w:val="single" w:sz="4" w:space="0" w:color="auto"/>
            </w:tcBorders>
          </w:tcPr>
          <w:p w14:paraId="05828942" w14:textId="71AB8BC5" w:rsidR="00143912" w:rsidRDefault="00143912" w:rsidP="00143912">
            <w:pPr>
              <w:jc w:val="center"/>
            </w:pPr>
            <w:r>
              <w:t>NA</w:t>
            </w:r>
          </w:p>
        </w:tc>
      </w:tr>
      <w:tr w:rsidR="00143912" w14:paraId="0AE1417C" w14:textId="77777777" w:rsidTr="00143912">
        <w:trPr>
          <w:jc w:val="center"/>
        </w:trPr>
        <w:tc>
          <w:tcPr>
            <w:tcW w:w="1980" w:type="dxa"/>
            <w:tcBorders>
              <w:bottom w:val="single" w:sz="4" w:space="0" w:color="auto"/>
            </w:tcBorders>
            <w:shd w:val="clear" w:color="auto" w:fill="BFBFBF" w:themeFill="background1" w:themeFillShade="BF"/>
          </w:tcPr>
          <w:p w14:paraId="76D71B15" w14:textId="2D20BF40" w:rsidR="00143912" w:rsidRPr="0091398E" w:rsidRDefault="00143912" w:rsidP="00143912">
            <w:pPr>
              <w:rPr>
                <w:b/>
              </w:rPr>
            </w:pPr>
            <w:r w:rsidRPr="00727A3D">
              <w:rPr>
                <w:b/>
              </w:rPr>
              <w:t>National Indicator</w:t>
            </w:r>
          </w:p>
        </w:tc>
        <w:tc>
          <w:tcPr>
            <w:tcW w:w="2693" w:type="dxa"/>
            <w:tcBorders>
              <w:bottom w:val="single" w:sz="4" w:space="0" w:color="auto"/>
            </w:tcBorders>
            <w:shd w:val="clear" w:color="auto" w:fill="BFBFBF" w:themeFill="background1" w:themeFillShade="BF"/>
          </w:tcPr>
          <w:p w14:paraId="3536F3A2" w14:textId="5C55B6A4" w:rsidR="00143912" w:rsidRDefault="00143912" w:rsidP="00143912">
            <w:pPr>
              <w:rPr>
                <w:noProof/>
              </w:rPr>
            </w:pPr>
            <w:r w:rsidRPr="00727A3D">
              <w:rPr>
                <w:b/>
              </w:rPr>
              <w:t xml:space="preserve">Difference From </w:t>
            </w:r>
            <w:r>
              <w:rPr>
                <w:b/>
              </w:rPr>
              <w:t>18-19</w:t>
            </w:r>
            <w:r w:rsidRPr="00727A3D">
              <w:rPr>
                <w:b/>
              </w:rPr>
              <w:t xml:space="preserve"> Baseline</w:t>
            </w:r>
          </w:p>
        </w:tc>
        <w:tc>
          <w:tcPr>
            <w:tcW w:w="3686" w:type="dxa"/>
            <w:tcBorders>
              <w:bottom w:val="single" w:sz="4" w:space="0" w:color="auto"/>
            </w:tcBorders>
            <w:shd w:val="clear" w:color="auto" w:fill="BFBFBF" w:themeFill="background1" w:themeFillShade="BF"/>
          </w:tcPr>
          <w:p w14:paraId="182D6333" w14:textId="5F4C9ADA" w:rsidR="00143912" w:rsidRDefault="00143912" w:rsidP="00143912">
            <w:pPr>
              <w:rPr>
                <w:noProof/>
              </w:rPr>
            </w:pPr>
            <w:r>
              <w:rPr>
                <w:b/>
              </w:rPr>
              <w:t xml:space="preserve">Dundee </w:t>
            </w:r>
            <w:r w:rsidRPr="00727A3D">
              <w:rPr>
                <w:b/>
              </w:rPr>
              <w:t>Short Term Trend (last 4 quarters)</w:t>
            </w:r>
          </w:p>
        </w:tc>
        <w:tc>
          <w:tcPr>
            <w:tcW w:w="4541" w:type="dxa"/>
            <w:tcBorders>
              <w:bottom w:val="single" w:sz="4" w:space="0" w:color="auto"/>
            </w:tcBorders>
            <w:shd w:val="clear" w:color="auto" w:fill="BFBFBF" w:themeFill="background1" w:themeFillShade="BF"/>
          </w:tcPr>
          <w:p w14:paraId="20434ABC" w14:textId="18DD7EE8" w:rsidR="00143912" w:rsidRDefault="00143912" w:rsidP="00143912">
            <w:pPr>
              <w:rPr>
                <w:noProof/>
              </w:rPr>
            </w:pPr>
            <w:r w:rsidRPr="00727A3D">
              <w:rPr>
                <w:b/>
              </w:rPr>
              <w:t>Long Term Trend</w:t>
            </w:r>
          </w:p>
        </w:tc>
        <w:tc>
          <w:tcPr>
            <w:tcW w:w="1276" w:type="dxa"/>
            <w:tcBorders>
              <w:bottom w:val="single" w:sz="4" w:space="0" w:color="auto"/>
            </w:tcBorders>
            <w:shd w:val="clear" w:color="auto" w:fill="BFBFBF" w:themeFill="background1" w:themeFillShade="BF"/>
          </w:tcPr>
          <w:p w14:paraId="045A385E" w14:textId="77777777" w:rsidR="00143912" w:rsidRDefault="00143912" w:rsidP="00143912">
            <w:pPr>
              <w:jc w:val="center"/>
              <w:rPr>
                <w:b/>
              </w:rPr>
            </w:pPr>
            <w:r>
              <w:rPr>
                <w:b/>
              </w:rPr>
              <w:t>Scotland Position</w:t>
            </w:r>
          </w:p>
          <w:p w14:paraId="5096D268" w14:textId="14311676" w:rsidR="00143912" w:rsidRDefault="00143912" w:rsidP="00143912">
            <w:pPr>
              <w:jc w:val="center"/>
            </w:pPr>
            <w:r>
              <w:rPr>
                <w:b/>
              </w:rPr>
              <w:t>1= best, 31 = worst</w:t>
            </w:r>
          </w:p>
        </w:tc>
        <w:tc>
          <w:tcPr>
            <w:tcW w:w="1134" w:type="dxa"/>
            <w:tcBorders>
              <w:bottom w:val="single" w:sz="4" w:space="0" w:color="auto"/>
            </w:tcBorders>
            <w:shd w:val="clear" w:color="auto" w:fill="BFBFBF" w:themeFill="background1" w:themeFillShade="BF"/>
          </w:tcPr>
          <w:p w14:paraId="3A377C11" w14:textId="77777777" w:rsidR="00143912" w:rsidRDefault="00143912" w:rsidP="00143912">
            <w:pPr>
              <w:jc w:val="center"/>
              <w:rPr>
                <w:b/>
              </w:rPr>
            </w:pPr>
            <w:r w:rsidRPr="00727A3D">
              <w:rPr>
                <w:b/>
              </w:rPr>
              <w:t>Family Group Position</w:t>
            </w:r>
          </w:p>
          <w:p w14:paraId="4512BDE4" w14:textId="7D9F71C9" w:rsidR="00143912" w:rsidRDefault="00143912" w:rsidP="00143912">
            <w:pPr>
              <w:jc w:val="center"/>
            </w:pPr>
            <w:r>
              <w:rPr>
                <w:b/>
              </w:rPr>
              <w:t>1= best, 8 = worst</w:t>
            </w:r>
          </w:p>
        </w:tc>
        <w:tc>
          <w:tcPr>
            <w:tcW w:w="1134" w:type="dxa"/>
            <w:tcBorders>
              <w:bottom w:val="single" w:sz="4" w:space="0" w:color="auto"/>
            </w:tcBorders>
            <w:shd w:val="clear" w:color="auto" w:fill="BFBFBF" w:themeFill="background1" w:themeFillShade="BF"/>
          </w:tcPr>
          <w:p w14:paraId="7B0BB30F" w14:textId="68DD3583" w:rsidR="00143912" w:rsidRDefault="00143912" w:rsidP="00143912">
            <w:pPr>
              <w:jc w:val="center"/>
            </w:pPr>
            <w:r w:rsidRPr="00727A3D">
              <w:rPr>
                <w:b/>
              </w:rPr>
              <w:t>Tayside Group Position</w:t>
            </w:r>
            <w:r>
              <w:rPr>
                <w:b/>
              </w:rPr>
              <w:t xml:space="preserve"> 1= best, 3 = worst</w:t>
            </w:r>
          </w:p>
        </w:tc>
      </w:tr>
      <w:tr w:rsidR="00143912" w14:paraId="649F9B5E" w14:textId="77777777" w:rsidTr="00085203">
        <w:trPr>
          <w:jc w:val="center"/>
        </w:trPr>
        <w:tc>
          <w:tcPr>
            <w:tcW w:w="1980" w:type="dxa"/>
            <w:tcBorders>
              <w:bottom w:val="single" w:sz="4" w:space="0" w:color="auto"/>
            </w:tcBorders>
          </w:tcPr>
          <w:p w14:paraId="42CFF22F" w14:textId="77777777" w:rsidR="00143912" w:rsidRDefault="00143912" w:rsidP="00143912">
            <w:pPr>
              <w:rPr>
                <w:b/>
              </w:rPr>
            </w:pPr>
            <w:r>
              <w:rPr>
                <w:b/>
              </w:rPr>
              <w:t xml:space="preserve">19.2 </w:t>
            </w:r>
            <w:r w:rsidRPr="00E77AFA">
              <w:rPr>
                <w:b/>
              </w:rPr>
              <w:t>Delayed Discharge bed days lost rate per 1,000 75</w:t>
            </w:r>
            <w:proofErr w:type="gramStart"/>
            <w:r w:rsidRPr="00E77AFA">
              <w:rPr>
                <w:b/>
              </w:rPr>
              <w:t>+  (</w:t>
            </w:r>
            <w:proofErr w:type="gramEnd"/>
            <w:r w:rsidRPr="00E77AFA">
              <w:rPr>
                <w:b/>
              </w:rPr>
              <w:t>Code 9)</w:t>
            </w:r>
          </w:p>
          <w:p w14:paraId="3E8AD775" w14:textId="77777777" w:rsidR="00143912" w:rsidRDefault="00143912" w:rsidP="00143912"/>
          <w:p w14:paraId="6F7869EF" w14:textId="77777777" w:rsidR="00143912" w:rsidRDefault="00143912" w:rsidP="00143912"/>
          <w:p w14:paraId="7984EC22" w14:textId="77777777" w:rsidR="00143912" w:rsidRDefault="00143912" w:rsidP="00143912"/>
          <w:p w14:paraId="7B63CD5C" w14:textId="77777777" w:rsidR="00143912" w:rsidRDefault="00143912" w:rsidP="00143912"/>
          <w:p w14:paraId="3ECA29C0" w14:textId="77777777" w:rsidR="00143912" w:rsidRDefault="00143912" w:rsidP="00143912"/>
          <w:p w14:paraId="6CB070CE" w14:textId="77777777" w:rsidR="00143912" w:rsidRDefault="00143912" w:rsidP="00143912"/>
          <w:p w14:paraId="47E488AB" w14:textId="77777777" w:rsidR="00143912" w:rsidRDefault="00143912" w:rsidP="00143912"/>
          <w:p w14:paraId="255BEF73" w14:textId="77777777" w:rsidR="00143912" w:rsidRDefault="00143912" w:rsidP="00143912"/>
          <w:p w14:paraId="52FDD4C2" w14:textId="77777777" w:rsidR="00143912" w:rsidRDefault="00143912" w:rsidP="00143912"/>
          <w:p w14:paraId="6ED80957" w14:textId="77777777" w:rsidR="00143912" w:rsidRDefault="00143912" w:rsidP="00143912"/>
          <w:p w14:paraId="70EB39E6" w14:textId="77777777" w:rsidR="00143912" w:rsidRDefault="00143912" w:rsidP="00143912"/>
          <w:p w14:paraId="0B1930F5" w14:textId="77777777" w:rsidR="00143912" w:rsidRDefault="00143912" w:rsidP="00143912"/>
        </w:tc>
        <w:tc>
          <w:tcPr>
            <w:tcW w:w="2693" w:type="dxa"/>
            <w:tcBorders>
              <w:bottom w:val="single" w:sz="4" w:space="0" w:color="auto"/>
            </w:tcBorders>
          </w:tcPr>
          <w:p w14:paraId="1E173259" w14:textId="48BE7AA2" w:rsidR="00143912" w:rsidRPr="00143912" w:rsidRDefault="00143912" w:rsidP="00143912">
            <w:pPr>
              <w:rPr>
                <w:sz w:val="12"/>
                <w:szCs w:val="12"/>
              </w:rPr>
            </w:pPr>
            <w:r w:rsidRPr="00143912">
              <w:rPr>
                <w:noProof/>
                <w:sz w:val="12"/>
                <w:szCs w:val="12"/>
              </w:rPr>
              <w:drawing>
                <wp:anchor distT="0" distB="0" distL="114300" distR="114300" simplePos="0" relativeHeight="251658264" behindDoc="0" locked="0" layoutInCell="1" allowOverlap="1" wp14:anchorId="4E737384" wp14:editId="53726C0E">
                  <wp:simplePos x="0" y="0"/>
                  <wp:positionH relativeFrom="margin">
                    <wp:posOffset>-60960</wp:posOffset>
                  </wp:positionH>
                  <wp:positionV relativeFrom="margin">
                    <wp:posOffset>0</wp:posOffset>
                  </wp:positionV>
                  <wp:extent cx="1647825" cy="1847850"/>
                  <wp:effectExtent l="0" t="0" r="0" b="0"/>
                  <wp:wrapSquare wrapText="bothSides"/>
                  <wp:docPr id="885261043" name="Chart 1">
                    <a:extLst xmlns:a="http://schemas.openxmlformats.org/drawingml/2006/main">
                      <a:ext uri="{FF2B5EF4-FFF2-40B4-BE49-F238E27FC236}">
                        <a16:creationId xmlns:a16="http://schemas.microsoft.com/office/drawing/2014/main" id="{6699A9D8-281A-FB79-9208-D87ACE7FAA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page">
                    <wp14:pctWidth>0</wp14:pctWidth>
                  </wp14:sizeRelH>
                  <wp14:sizeRelV relativeFrom="page">
                    <wp14:pctHeight>0</wp14:pctHeight>
                  </wp14:sizeRelV>
                </wp:anchor>
              </w:drawing>
            </w:r>
          </w:p>
          <w:p w14:paraId="450DD2AC" w14:textId="18B98AD2" w:rsidR="00143912" w:rsidRDefault="00143912" w:rsidP="00143912">
            <w:r>
              <w:t>25% decrease (improvement) since 2018-19 and decrease (improvement) in 6 LCPPs.</w:t>
            </w:r>
          </w:p>
          <w:p w14:paraId="6077D8FB" w14:textId="6C9D524C" w:rsidR="00143912" w:rsidRDefault="00143912" w:rsidP="00143912"/>
        </w:tc>
        <w:tc>
          <w:tcPr>
            <w:tcW w:w="3686" w:type="dxa"/>
            <w:tcBorders>
              <w:bottom w:val="single" w:sz="4" w:space="0" w:color="auto"/>
            </w:tcBorders>
          </w:tcPr>
          <w:p w14:paraId="135B1ACD" w14:textId="2DFDA934" w:rsidR="00143912" w:rsidRDefault="00143912" w:rsidP="00143912">
            <w:pPr>
              <w:rPr>
                <w:noProof/>
              </w:rPr>
            </w:pPr>
            <w:r>
              <w:rPr>
                <w:noProof/>
              </w:rPr>
              <w:drawing>
                <wp:anchor distT="0" distB="0" distL="114300" distR="114300" simplePos="0" relativeHeight="251658262" behindDoc="0" locked="0" layoutInCell="1" allowOverlap="1" wp14:anchorId="71E872C3" wp14:editId="054EFDA2">
                  <wp:simplePos x="0" y="0"/>
                  <wp:positionH relativeFrom="column">
                    <wp:posOffset>10160</wp:posOffset>
                  </wp:positionH>
                  <wp:positionV relativeFrom="paragraph">
                    <wp:posOffset>16510</wp:posOffset>
                  </wp:positionV>
                  <wp:extent cx="2256155" cy="1453515"/>
                  <wp:effectExtent l="0" t="0" r="0" b="0"/>
                  <wp:wrapSquare wrapText="bothSides"/>
                  <wp:docPr id="780819364" name="Chart 1">
                    <a:extLst xmlns:a="http://schemas.openxmlformats.org/drawingml/2006/main">
                      <a:ext uri="{FF2B5EF4-FFF2-40B4-BE49-F238E27FC236}">
                        <a16:creationId xmlns:a16="http://schemas.microsoft.com/office/drawing/2014/main" id="{A484453A-5349-06B5-A8D1-5A2A2ADCEE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14:sizeRelV relativeFrom="margin">
                    <wp14:pctHeight>0</wp14:pctHeight>
                  </wp14:sizeRelV>
                </wp:anchor>
              </w:drawing>
            </w:r>
          </w:p>
          <w:p w14:paraId="70CBF4F0" w14:textId="6F74682A" w:rsidR="00143912" w:rsidRDefault="00143912" w:rsidP="00143912">
            <w:r>
              <w:t>Improvement between Q2 to Q4.</w:t>
            </w:r>
          </w:p>
        </w:tc>
        <w:tc>
          <w:tcPr>
            <w:tcW w:w="4541" w:type="dxa"/>
            <w:tcBorders>
              <w:bottom w:val="single" w:sz="4" w:space="0" w:color="auto"/>
            </w:tcBorders>
          </w:tcPr>
          <w:p w14:paraId="7EDD818D" w14:textId="136354FC" w:rsidR="00143912" w:rsidRDefault="00143912" w:rsidP="00143912">
            <w:r>
              <w:rPr>
                <w:noProof/>
              </w:rPr>
              <w:drawing>
                <wp:anchor distT="0" distB="0" distL="114300" distR="114300" simplePos="0" relativeHeight="251658263" behindDoc="0" locked="0" layoutInCell="1" allowOverlap="1" wp14:anchorId="64BFFA7F" wp14:editId="2003E0AD">
                  <wp:simplePos x="0" y="0"/>
                  <wp:positionH relativeFrom="column">
                    <wp:posOffset>-55880</wp:posOffset>
                  </wp:positionH>
                  <wp:positionV relativeFrom="paragraph">
                    <wp:posOffset>0</wp:posOffset>
                  </wp:positionV>
                  <wp:extent cx="2861945" cy="1931670"/>
                  <wp:effectExtent l="0" t="0" r="0" b="0"/>
                  <wp:wrapSquare wrapText="bothSides"/>
                  <wp:docPr id="1266033727" name="Chart 1">
                    <a:extLst xmlns:a="http://schemas.openxmlformats.org/drawingml/2006/main">
                      <a:ext uri="{FF2B5EF4-FFF2-40B4-BE49-F238E27FC236}">
                        <a16:creationId xmlns:a16="http://schemas.microsoft.com/office/drawing/2014/main" id="{CEF3129D-1AFA-876D-E84E-D468DE77F4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margin">
                    <wp14:pctWidth>0</wp14:pctWidth>
                  </wp14:sizeRelH>
                  <wp14:sizeRelV relativeFrom="margin">
                    <wp14:pctHeight>0</wp14:pctHeight>
                  </wp14:sizeRelV>
                </wp:anchor>
              </w:drawing>
            </w:r>
          </w:p>
          <w:p w14:paraId="5B80A0A2" w14:textId="31C7AE3C" w:rsidR="00143912" w:rsidRDefault="00143912" w:rsidP="00143912"/>
        </w:tc>
        <w:tc>
          <w:tcPr>
            <w:tcW w:w="1276" w:type="dxa"/>
            <w:tcBorders>
              <w:bottom w:val="single" w:sz="4" w:space="0" w:color="auto"/>
            </w:tcBorders>
          </w:tcPr>
          <w:p w14:paraId="709F5405" w14:textId="77777777" w:rsidR="00143912" w:rsidRDefault="00143912" w:rsidP="00143912">
            <w:pPr>
              <w:jc w:val="center"/>
            </w:pPr>
            <w:r>
              <w:t>NA</w:t>
            </w:r>
          </w:p>
        </w:tc>
        <w:tc>
          <w:tcPr>
            <w:tcW w:w="1134" w:type="dxa"/>
            <w:tcBorders>
              <w:bottom w:val="single" w:sz="4" w:space="0" w:color="auto"/>
            </w:tcBorders>
          </w:tcPr>
          <w:p w14:paraId="2B67369C" w14:textId="77777777" w:rsidR="00143912" w:rsidRDefault="00143912" w:rsidP="00143912">
            <w:pPr>
              <w:jc w:val="center"/>
            </w:pPr>
            <w:r>
              <w:t>NA</w:t>
            </w:r>
          </w:p>
        </w:tc>
        <w:tc>
          <w:tcPr>
            <w:tcW w:w="1134" w:type="dxa"/>
            <w:tcBorders>
              <w:bottom w:val="single" w:sz="4" w:space="0" w:color="auto"/>
            </w:tcBorders>
          </w:tcPr>
          <w:p w14:paraId="31A6BCA4" w14:textId="77777777" w:rsidR="00143912" w:rsidRDefault="00143912" w:rsidP="00143912">
            <w:pPr>
              <w:jc w:val="center"/>
            </w:pPr>
            <w:r>
              <w:t>NA</w:t>
            </w:r>
          </w:p>
        </w:tc>
      </w:tr>
      <w:tr w:rsidR="00143912" w14:paraId="36944337" w14:textId="77777777" w:rsidTr="00143912">
        <w:trPr>
          <w:jc w:val="center"/>
        </w:trPr>
        <w:tc>
          <w:tcPr>
            <w:tcW w:w="1980" w:type="dxa"/>
            <w:tcBorders>
              <w:bottom w:val="single" w:sz="4" w:space="0" w:color="auto"/>
            </w:tcBorders>
          </w:tcPr>
          <w:p w14:paraId="6B58FBCB" w14:textId="77777777" w:rsidR="00143912" w:rsidRDefault="00143912" w:rsidP="00143912">
            <w:pPr>
              <w:rPr>
                <w:b/>
              </w:rPr>
            </w:pPr>
            <w:r w:rsidRPr="00E77AFA">
              <w:rPr>
                <w:b/>
              </w:rPr>
              <w:t xml:space="preserve">Delayed Discharge bed days lost rate per 1,000 </w:t>
            </w:r>
            <w:r>
              <w:rPr>
                <w:b/>
              </w:rPr>
              <w:t>18</w:t>
            </w:r>
            <w:r w:rsidRPr="00E77AFA">
              <w:rPr>
                <w:b/>
              </w:rPr>
              <w:t>+ (</w:t>
            </w:r>
            <w:r>
              <w:rPr>
                <w:b/>
              </w:rPr>
              <w:t>All Reasons</w:t>
            </w:r>
            <w:r w:rsidRPr="00E77AFA">
              <w:rPr>
                <w:b/>
              </w:rPr>
              <w:t>)</w:t>
            </w:r>
            <w:r>
              <w:rPr>
                <w:b/>
              </w:rPr>
              <w:t xml:space="preserve"> (MSG)</w:t>
            </w:r>
          </w:p>
        </w:tc>
        <w:tc>
          <w:tcPr>
            <w:tcW w:w="2693" w:type="dxa"/>
            <w:tcBorders>
              <w:bottom w:val="single" w:sz="4" w:space="0" w:color="auto"/>
            </w:tcBorders>
          </w:tcPr>
          <w:p w14:paraId="62878AA9" w14:textId="55DB9664" w:rsidR="00143912" w:rsidRDefault="00143912" w:rsidP="00143912">
            <w:pPr>
              <w:rPr>
                <w:noProof/>
              </w:rPr>
            </w:pPr>
            <w:r>
              <w:rPr>
                <w:noProof/>
              </w:rPr>
              <w:t>Bed days have almost doubled since 2019-20 (2018-19 data not provided by PHS).  This is a deterioration.</w:t>
            </w:r>
          </w:p>
          <w:p w14:paraId="3EA6A54E" w14:textId="37E818D0" w:rsidR="00143912" w:rsidRDefault="00143912" w:rsidP="00143912">
            <w:pPr>
              <w:rPr>
                <w:noProof/>
              </w:rPr>
            </w:pPr>
            <w:r w:rsidRPr="0842DDBE">
              <w:rPr>
                <w:noProof/>
              </w:rPr>
              <w:t xml:space="preserve">In 2019-20 there were 9,861 bed days lost and this increased to </w:t>
            </w:r>
            <w:r w:rsidRPr="0098471F">
              <w:rPr>
                <w:noProof/>
              </w:rPr>
              <w:t>13,118</w:t>
            </w:r>
            <w:r w:rsidRPr="0098471F">
              <w:t xml:space="preserve"> at </w:t>
            </w:r>
            <w:r w:rsidRPr="0098471F">
              <w:rPr>
                <w:noProof/>
              </w:rPr>
              <w:t>Q4</w:t>
            </w:r>
            <w:r w:rsidRPr="0098471F">
              <w:t xml:space="preserve"> 2023-24.</w:t>
            </w:r>
            <w:r w:rsidRPr="0842DDBE">
              <w:rPr>
                <w:noProof/>
              </w:rPr>
              <w:t xml:space="preserve">  </w:t>
            </w:r>
          </w:p>
          <w:p w14:paraId="6D2D677B" w14:textId="77777777" w:rsidR="00143912" w:rsidRDefault="00143912" w:rsidP="00143912">
            <w:pPr>
              <w:rPr>
                <w:noProof/>
              </w:rPr>
            </w:pPr>
          </w:p>
          <w:p w14:paraId="3362D075" w14:textId="77777777" w:rsidR="00143912" w:rsidRDefault="00143912" w:rsidP="00143912">
            <w:pPr>
              <w:rPr>
                <w:noProof/>
              </w:rPr>
            </w:pPr>
          </w:p>
          <w:p w14:paraId="74731B87" w14:textId="77777777" w:rsidR="00143912" w:rsidRDefault="00143912" w:rsidP="00143912">
            <w:pPr>
              <w:rPr>
                <w:noProof/>
              </w:rPr>
            </w:pPr>
          </w:p>
          <w:p w14:paraId="7253EEFA" w14:textId="77777777" w:rsidR="00143912" w:rsidRDefault="00143912" w:rsidP="00143912">
            <w:pPr>
              <w:rPr>
                <w:noProof/>
              </w:rPr>
            </w:pPr>
          </w:p>
          <w:p w14:paraId="454FE072" w14:textId="77777777" w:rsidR="00143912" w:rsidRDefault="00143912" w:rsidP="00143912">
            <w:pPr>
              <w:rPr>
                <w:noProof/>
              </w:rPr>
            </w:pPr>
          </w:p>
          <w:p w14:paraId="6AE05E46" w14:textId="77777777" w:rsidR="00143912" w:rsidRDefault="00143912" w:rsidP="00143912">
            <w:pPr>
              <w:rPr>
                <w:noProof/>
              </w:rPr>
            </w:pPr>
          </w:p>
          <w:p w14:paraId="1ED44628" w14:textId="77777777" w:rsidR="00143912" w:rsidRDefault="00143912" w:rsidP="00143912">
            <w:pPr>
              <w:rPr>
                <w:noProof/>
              </w:rPr>
            </w:pPr>
          </w:p>
          <w:p w14:paraId="4FC08D16" w14:textId="3C8D9685" w:rsidR="00143912" w:rsidRDefault="00143912" w:rsidP="00143912">
            <w:pPr>
              <w:rPr>
                <w:noProof/>
              </w:rPr>
            </w:pPr>
          </w:p>
        </w:tc>
        <w:tc>
          <w:tcPr>
            <w:tcW w:w="3686" w:type="dxa"/>
            <w:tcBorders>
              <w:bottom w:val="single" w:sz="4" w:space="0" w:color="auto"/>
            </w:tcBorders>
          </w:tcPr>
          <w:p w14:paraId="15DE616F" w14:textId="69314722" w:rsidR="00143912" w:rsidRDefault="00143912" w:rsidP="00143912">
            <w:r>
              <w:rPr>
                <w:noProof/>
              </w:rPr>
              <w:drawing>
                <wp:inline distT="0" distB="0" distL="0" distR="0" wp14:anchorId="2282DCF6" wp14:editId="71432318">
                  <wp:extent cx="2203450" cy="1729946"/>
                  <wp:effectExtent l="0" t="0" r="6350" b="3810"/>
                  <wp:docPr id="1193044124" name="Chart 1">
                    <a:extLst xmlns:a="http://schemas.openxmlformats.org/drawingml/2006/main">
                      <a:ext uri="{FF2B5EF4-FFF2-40B4-BE49-F238E27FC236}">
                        <a16:creationId xmlns:a16="http://schemas.microsoft.com/office/drawing/2014/main" id="{B44B877C-B912-47A4-9CBB-163A5F6173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A34239A" w14:textId="77777777" w:rsidR="00143912" w:rsidRDefault="00143912" w:rsidP="00143912"/>
          <w:p w14:paraId="28F16607" w14:textId="3FEB3FEA" w:rsidR="00143912" w:rsidRDefault="00143912" w:rsidP="00143912">
            <w:r>
              <w:t>Reduction (improvement) since Q1.</w:t>
            </w:r>
          </w:p>
        </w:tc>
        <w:tc>
          <w:tcPr>
            <w:tcW w:w="4541" w:type="dxa"/>
            <w:tcBorders>
              <w:bottom w:val="single" w:sz="4" w:space="0" w:color="auto"/>
            </w:tcBorders>
          </w:tcPr>
          <w:p w14:paraId="0F3A3E69" w14:textId="32A872BD" w:rsidR="00143912" w:rsidRDefault="00143912" w:rsidP="00143912">
            <w:pPr>
              <w:rPr>
                <w:noProof/>
              </w:rPr>
            </w:pPr>
            <w:r>
              <w:rPr>
                <w:noProof/>
              </w:rPr>
              <w:drawing>
                <wp:inline distT="0" distB="0" distL="0" distR="0" wp14:anchorId="03467D1A" wp14:editId="5747070E">
                  <wp:extent cx="2746375" cy="1822450"/>
                  <wp:effectExtent l="0" t="0" r="0" b="6350"/>
                  <wp:docPr id="1104430244" name="Chart 1">
                    <a:extLst xmlns:a="http://schemas.openxmlformats.org/drawingml/2006/main">
                      <a:ext uri="{FF2B5EF4-FFF2-40B4-BE49-F238E27FC236}">
                        <a16:creationId xmlns:a16="http://schemas.microsoft.com/office/drawing/2014/main" id="{524E2A19-3914-4305-B541-891DC30F2FAE}"/>
                      </a:ext>
                      <a:ext uri="{147F2762-F138-4A5C-976F-8EAC2B608ADB}">
                        <a16:predDERef xmlns:a16="http://schemas.microsoft.com/office/drawing/2014/main" pred="{B44B877C-B912-47A4-9CBB-163A5F6173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FE3D6A3" w14:textId="1EE2734A" w:rsidR="00143912" w:rsidRDefault="00143912" w:rsidP="00143912">
            <w:r>
              <w:t>Overall increase since 2019-20. A decrease in the past year.</w:t>
            </w:r>
          </w:p>
        </w:tc>
        <w:tc>
          <w:tcPr>
            <w:tcW w:w="1276" w:type="dxa"/>
            <w:tcBorders>
              <w:bottom w:val="single" w:sz="4" w:space="0" w:color="auto"/>
            </w:tcBorders>
          </w:tcPr>
          <w:p w14:paraId="72ADF89D" w14:textId="5E0CB6F5" w:rsidR="00143912" w:rsidRDefault="00143912" w:rsidP="00143912">
            <w:pPr>
              <w:jc w:val="center"/>
            </w:pPr>
            <w:r>
              <w:t>NA</w:t>
            </w:r>
          </w:p>
        </w:tc>
        <w:tc>
          <w:tcPr>
            <w:tcW w:w="1134" w:type="dxa"/>
            <w:tcBorders>
              <w:bottom w:val="single" w:sz="4" w:space="0" w:color="auto"/>
            </w:tcBorders>
          </w:tcPr>
          <w:p w14:paraId="1727913B" w14:textId="29378C62" w:rsidR="00143912" w:rsidRDefault="00143912" w:rsidP="00143912">
            <w:pPr>
              <w:jc w:val="center"/>
            </w:pPr>
            <w:r>
              <w:t>NA</w:t>
            </w:r>
          </w:p>
        </w:tc>
        <w:tc>
          <w:tcPr>
            <w:tcW w:w="1134" w:type="dxa"/>
            <w:tcBorders>
              <w:bottom w:val="single" w:sz="4" w:space="0" w:color="auto"/>
            </w:tcBorders>
          </w:tcPr>
          <w:p w14:paraId="63FB3104" w14:textId="4E9D84D5" w:rsidR="00143912" w:rsidRDefault="00143912" w:rsidP="00143912">
            <w:pPr>
              <w:jc w:val="center"/>
            </w:pPr>
            <w:r>
              <w:t>NA</w:t>
            </w:r>
          </w:p>
        </w:tc>
      </w:tr>
      <w:tr w:rsidR="00143912" w14:paraId="0B3E6638" w14:textId="77777777" w:rsidTr="00143912">
        <w:trPr>
          <w:jc w:val="center"/>
        </w:trPr>
        <w:tc>
          <w:tcPr>
            <w:tcW w:w="1980" w:type="dxa"/>
            <w:shd w:val="clear" w:color="auto" w:fill="BFBFBF" w:themeFill="background1" w:themeFillShade="BF"/>
          </w:tcPr>
          <w:p w14:paraId="74C3C46C" w14:textId="72577FAD" w:rsidR="00143912" w:rsidRPr="00E77AFA" w:rsidRDefault="00143912" w:rsidP="00143912">
            <w:pPr>
              <w:rPr>
                <w:b/>
              </w:rPr>
            </w:pPr>
            <w:r w:rsidRPr="00727A3D">
              <w:rPr>
                <w:b/>
              </w:rPr>
              <w:t>National Indicator</w:t>
            </w:r>
          </w:p>
        </w:tc>
        <w:tc>
          <w:tcPr>
            <w:tcW w:w="2693" w:type="dxa"/>
            <w:shd w:val="clear" w:color="auto" w:fill="BFBFBF" w:themeFill="background1" w:themeFillShade="BF"/>
          </w:tcPr>
          <w:p w14:paraId="15535667" w14:textId="21C9F694" w:rsidR="00143912" w:rsidRDefault="00143912" w:rsidP="00143912">
            <w:pPr>
              <w:rPr>
                <w:noProof/>
              </w:rPr>
            </w:pPr>
            <w:r w:rsidRPr="00727A3D">
              <w:rPr>
                <w:b/>
              </w:rPr>
              <w:t xml:space="preserve">Difference From </w:t>
            </w:r>
            <w:r>
              <w:rPr>
                <w:b/>
              </w:rPr>
              <w:t>18-19</w:t>
            </w:r>
            <w:r w:rsidRPr="00727A3D">
              <w:rPr>
                <w:b/>
              </w:rPr>
              <w:t xml:space="preserve"> Baseline</w:t>
            </w:r>
          </w:p>
        </w:tc>
        <w:tc>
          <w:tcPr>
            <w:tcW w:w="3686" w:type="dxa"/>
            <w:shd w:val="clear" w:color="auto" w:fill="BFBFBF" w:themeFill="background1" w:themeFillShade="BF"/>
          </w:tcPr>
          <w:p w14:paraId="392667F0" w14:textId="5C054070" w:rsidR="00143912" w:rsidRDefault="00143912" w:rsidP="00143912">
            <w:pPr>
              <w:rPr>
                <w:noProof/>
              </w:rPr>
            </w:pPr>
            <w:r>
              <w:rPr>
                <w:b/>
              </w:rPr>
              <w:t xml:space="preserve">Dundee </w:t>
            </w:r>
            <w:r w:rsidRPr="00727A3D">
              <w:rPr>
                <w:b/>
              </w:rPr>
              <w:t>Short Term Trend (last 4 quarters)</w:t>
            </w:r>
          </w:p>
        </w:tc>
        <w:tc>
          <w:tcPr>
            <w:tcW w:w="4541" w:type="dxa"/>
            <w:shd w:val="clear" w:color="auto" w:fill="BFBFBF" w:themeFill="background1" w:themeFillShade="BF"/>
          </w:tcPr>
          <w:p w14:paraId="116E36B6" w14:textId="5085FD20" w:rsidR="00143912" w:rsidRDefault="00143912" w:rsidP="00143912">
            <w:pPr>
              <w:rPr>
                <w:noProof/>
              </w:rPr>
            </w:pPr>
            <w:r w:rsidRPr="00727A3D">
              <w:rPr>
                <w:b/>
              </w:rPr>
              <w:t>Long Term Trend</w:t>
            </w:r>
          </w:p>
        </w:tc>
        <w:tc>
          <w:tcPr>
            <w:tcW w:w="1276" w:type="dxa"/>
            <w:shd w:val="clear" w:color="auto" w:fill="BFBFBF" w:themeFill="background1" w:themeFillShade="BF"/>
          </w:tcPr>
          <w:p w14:paraId="3F4C98CE" w14:textId="77777777" w:rsidR="00143912" w:rsidRDefault="00143912" w:rsidP="00143912">
            <w:pPr>
              <w:jc w:val="center"/>
              <w:rPr>
                <w:b/>
              </w:rPr>
            </w:pPr>
            <w:r>
              <w:rPr>
                <w:b/>
              </w:rPr>
              <w:t>Scotland Position</w:t>
            </w:r>
          </w:p>
          <w:p w14:paraId="4C359366" w14:textId="788EEB0D" w:rsidR="00143912" w:rsidRDefault="00143912" w:rsidP="00143912">
            <w:pPr>
              <w:jc w:val="center"/>
            </w:pPr>
            <w:r>
              <w:rPr>
                <w:b/>
              </w:rPr>
              <w:t>1= best, 31 = worst</w:t>
            </w:r>
          </w:p>
        </w:tc>
        <w:tc>
          <w:tcPr>
            <w:tcW w:w="1134" w:type="dxa"/>
            <w:shd w:val="clear" w:color="auto" w:fill="BFBFBF" w:themeFill="background1" w:themeFillShade="BF"/>
          </w:tcPr>
          <w:p w14:paraId="1DDC5839" w14:textId="77777777" w:rsidR="00143912" w:rsidRDefault="00143912" w:rsidP="00143912">
            <w:pPr>
              <w:jc w:val="center"/>
              <w:rPr>
                <w:b/>
              </w:rPr>
            </w:pPr>
            <w:r w:rsidRPr="00727A3D">
              <w:rPr>
                <w:b/>
              </w:rPr>
              <w:t>Family Group Position</w:t>
            </w:r>
          </w:p>
          <w:p w14:paraId="3E647B22" w14:textId="293137FC" w:rsidR="00143912" w:rsidRDefault="00143912" w:rsidP="00143912">
            <w:pPr>
              <w:jc w:val="center"/>
            </w:pPr>
            <w:r>
              <w:rPr>
                <w:b/>
              </w:rPr>
              <w:t>1= best, 8 = worst</w:t>
            </w:r>
          </w:p>
        </w:tc>
        <w:tc>
          <w:tcPr>
            <w:tcW w:w="1134" w:type="dxa"/>
            <w:shd w:val="clear" w:color="auto" w:fill="BFBFBF" w:themeFill="background1" w:themeFillShade="BF"/>
          </w:tcPr>
          <w:p w14:paraId="2FD4A157" w14:textId="603D77A4" w:rsidR="00143912" w:rsidRDefault="00143912" w:rsidP="00143912">
            <w:pPr>
              <w:jc w:val="center"/>
            </w:pPr>
            <w:r w:rsidRPr="00727A3D">
              <w:rPr>
                <w:b/>
              </w:rPr>
              <w:t>Tayside Group Position</w:t>
            </w:r>
            <w:r>
              <w:rPr>
                <w:b/>
              </w:rPr>
              <w:t xml:space="preserve"> 1= best, 3 = worst</w:t>
            </w:r>
          </w:p>
        </w:tc>
      </w:tr>
      <w:tr w:rsidR="00143912" w14:paraId="7CC07DB4" w14:textId="77777777" w:rsidTr="00085203">
        <w:trPr>
          <w:jc w:val="center"/>
        </w:trPr>
        <w:tc>
          <w:tcPr>
            <w:tcW w:w="1980" w:type="dxa"/>
          </w:tcPr>
          <w:p w14:paraId="70E369DF" w14:textId="77777777" w:rsidR="00143912" w:rsidRDefault="00143912" w:rsidP="00143912">
            <w:pPr>
              <w:rPr>
                <w:b/>
              </w:rPr>
            </w:pPr>
            <w:r>
              <w:rPr>
                <w:b/>
              </w:rPr>
              <w:t>20. % of health and social care resource spent on hospital stays where the patient was admitted as an emergency</w:t>
            </w:r>
          </w:p>
        </w:tc>
        <w:tc>
          <w:tcPr>
            <w:tcW w:w="2693" w:type="dxa"/>
          </w:tcPr>
          <w:p w14:paraId="67991923" w14:textId="5FCD006D" w:rsidR="00143912" w:rsidRDefault="00143912" w:rsidP="00143912">
            <w:pPr>
              <w:rPr>
                <w:noProof/>
              </w:rPr>
            </w:pPr>
            <w:r>
              <w:rPr>
                <w:noProof/>
              </w:rPr>
              <w:t>5.8% less in 2020/21* than 2015/16 (improvement).</w:t>
            </w:r>
          </w:p>
          <w:p w14:paraId="26758C2E" w14:textId="77777777" w:rsidR="00143912" w:rsidRDefault="00143912" w:rsidP="00143912">
            <w:pPr>
              <w:rPr>
                <w:noProof/>
              </w:rPr>
            </w:pPr>
          </w:p>
          <w:p w14:paraId="5F61887F" w14:textId="00E070E4" w:rsidR="00143912" w:rsidRDefault="00143912" w:rsidP="00143912">
            <w:pPr>
              <w:rPr>
                <w:noProof/>
              </w:rPr>
            </w:pPr>
            <w:r>
              <w:rPr>
                <w:noProof/>
              </w:rPr>
              <w:t>*latest data available</w:t>
            </w:r>
          </w:p>
        </w:tc>
        <w:tc>
          <w:tcPr>
            <w:tcW w:w="3686" w:type="dxa"/>
          </w:tcPr>
          <w:p w14:paraId="3BBE4CF9" w14:textId="56964876" w:rsidR="00143912" w:rsidRDefault="00143912" w:rsidP="00143912">
            <w:pPr>
              <w:rPr>
                <w:noProof/>
              </w:rPr>
            </w:pPr>
            <w:r>
              <w:rPr>
                <w:noProof/>
              </w:rPr>
              <w:t>Not Available.</w:t>
            </w:r>
          </w:p>
        </w:tc>
        <w:tc>
          <w:tcPr>
            <w:tcW w:w="4541" w:type="dxa"/>
          </w:tcPr>
          <w:p w14:paraId="12FB7186" w14:textId="77777777" w:rsidR="00143912" w:rsidRDefault="00143912" w:rsidP="00143912">
            <w:pPr>
              <w:rPr>
                <w:noProof/>
              </w:rPr>
            </w:pPr>
            <w:r>
              <w:rPr>
                <w:noProof/>
              </w:rPr>
              <w:drawing>
                <wp:inline distT="0" distB="0" distL="0" distR="0" wp14:anchorId="29EC5F0F" wp14:editId="603AF4AF">
                  <wp:extent cx="2590800" cy="1543050"/>
                  <wp:effectExtent l="0" t="0" r="0" b="0"/>
                  <wp:docPr id="44" name="Chart 44">
                    <a:extLst xmlns:a="http://schemas.openxmlformats.org/drawingml/2006/main">
                      <a:ext uri="{FF2B5EF4-FFF2-40B4-BE49-F238E27FC236}">
                        <a16:creationId xmlns:a16="http://schemas.microsoft.com/office/drawing/2014/main" id="{062B665F-4749-47D9-8802-BB92B1991F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E9BC853" w14:textId="0AD7C70A" w:rsidR="00143912" w:rsidRDefault="00143912" w:rsidP="00143912">
            <w:pPr>
              <w:rPr>
                <w:noProof/>
              </w:rPr>
            </w:pPr>
          </w:p>
        </w:tc>
        <w:tc>
          <w:tcPr>
            <w:tcW w:w="1276" w:type="dxa"/>
          </w:tcPr>
          <w:p w14:paraId="0960BFCB" w14:textId="77777777" w:rsidR="00143912" w:rsidRDefault="00143912" w:rsidP="00143912">
            <w:pPr>
              <w:jc w:val="center"/>
            </w:pPr>
            <w:r>
              <w:t>18th</w:t>
            </w:r>
          </w:p>
        </w:tc>
        <w:tc>
          <w:tcPr>
            <w:tcW w:w="1134" w:type="dxa"/>
          </w:tcPr>
          <w:p w14:paraId="5FAA8598" w14:textId="77777777" w:rsidR="00143912" w:rsidRDefault="00143912" w:rsidP="00143912">
            <w:pPr>
              <w:jc w:val="center"/>
            </w:pPr>
            <w:r>
              <w:t>3rd</w:t>
            </w:r>
          </w:p>
        </w:tc>
        <w:tc>
          <w:tcPr>
            <w:tcW w:w="1134" w:type="dxa"/>
          </w:tcPr>
          <w:p w14:paraId="2BD3F090" w14:textId="77777777" w:rsidR="00143912" w:rsidRDefault="00143912" w:rsidP="00143912">
            <w:pPr>
              <w:jc w:val="center"/>
            </w:pPr>
            <w:r>
              <w:t>3rd</w:t>
            </w:r>
          </w:p>
        </w:tc>
      </w:tr>
    </w:tbl>
    <w:p w14:paraId="7FA367D6" w14:textId="77777777" w:rsidR="00A011FE" w:rsidRDefault="00A011FE" w:rsidP="007B3A6E">
      <w:pPr>
        <w:jc w:val="both"/>
        <w:rPr>
          <w:rFonts w:cs="Arial"/>
          <w:b/>
          <w:sz w:val="22"/>
          <w:szCs w:val="22"/>
        </w:rPr>
        <w:sectPr w:rsidR="00A011FE" w:rsidSect="00A011FE">
          <w:footerReference w:type="first" r:id="rId48"/>
          <w:pgSz w:w="16840" w:h="11907" w:orient="landscape" w:code="9"/>
          <w:pgMar w:top="1134" w:right="1440" w:bottom="1440" w:left="1440" w:header="720" w:footer="340" w:gutter="0"/>
          <w:paperSrc w:first="260" w:other="260"/>
          <w:pgNumType w:start="1"/>
          <w:cols w:space="720"/>
          <w:titlePg/>
          <w:docGrid w:linePitch="272"/>
        </w:sectPr>
      </w:pPr>
    </w:p>
    <w:p w14:paraId="5CFD9351" w14:textId="2403B214" w:rsidR="00BB74F9" w:rsidRPr="00C35301" w:rsidRDefault="00BB74F9">
      <w:pPr>
        <w:spacing w:after="160" w:line="259" w:lineRule="auto"/>
        <w:rPr>
          <w:rFonts w:cs="Arial"/>
          <w:b/>
          <w:szCs w:val="22"/>
        </w:rPr>
      </w:pPr>
      <w:r w:rsidRPr="00C35301">
        <w:rPr>
          <w:rFonts w:cs="Arial"/>
          <w:b/>
          <w:szCs w:val="22"/>
        </w:rPr>
        <w:t xml:space="preserve">APPENDIX </w:t>
      </w:r>
      <w:r w:rsidR="00746270" w:rsidRPr="00C35301">
        <w:rPr>
          <w:rFonts w:cs="Arial"/>
          <w:b/>
          <w:szCs w:val="22"/>
        </w:rPr>
        <w:t>2</w:t>
      </w:r>
      <w:r w:rsidRPr="00C35301">
        <w:rPr>
          <w:rFonts w:cs="Arial"/>
          <w:b/>
          <w:szCs w:val="22"/>
        </w:rPr>
        <w:t xml:space="preserve"> SUMMARY OF SOCIAL CARE – DEMAND FOR CARE AT HOME SERVICES DUNDEE</w:t>
      </w:r>
    </w:p>
    <w:p w14:paraId="688D386F" w14:textId="11FD8F92" w:rsidR="00BB74F9" w:rsidRDefault="00BB74F9" w:rsidP="00727BF5">
      <w:pPr>
        <w:spacing w:line="259" w:lineRule="auto"/>
        <w:rPr>
          <w:rFonts w:cs="Arial"/>
          <w:color w:val="333333"/>
          <w:shd w:val="clear" w:color="auto" w:fill="FFFFFF"/>
        </w:rPr>
      </w:pPr>
      <w:r w:rsidRPr="00C35301">
        <w:rPr>
          <w:rFonts w:cs="Arial"/>
          <w:color w:val="333333"/>
          <w:shd w:val="clear" w:color="auto" w:fill="FFFFFF"/>
        </w:rPr>
        <w:t xml:space="preserve">This report is an assessment of the demand for Care at Home services provided by Health and Social Care Partnerships. The information shows the number of people waiting </w:t>
      </w:r>
      <w:r w:rsidR="0036492F" w:rsidRPr="00C35301">
        <w:rPr>
          <w:rFonts w:cs="Arial"/>
          <w:color w:val="333333"/>
          <w:shd w:val="clear" w:color="auto" w:fill="FFFFFF"/>
        </w:rPr>
        <w:t xml:space="preserve">for </w:t>
      </w:r>
      <w:r w:rsidRPr="00C35301">
        <w:rPr>
          <w:rFonts w:cs="Arial"/>
          <w:color w:val="333333"/>
          <w:shd w:val="clear" w:color="auto" w:fill="FFFFFF"/>
        </w:rPr>
        <w:t xml:space="preserve">an assessment for a package of care to allow them to live at home or in the community and the number of hours of care that has been assessed but not yet delivered. The information is presented by people waiting in hospital or waiting at home/community for the care at home service to be delivered. </w:t>
      </w:r>
    </w:p>
    <w:p w14:paraId="2733A34B" w14:textId="77777777" w:rsidR="008112E7" w:rsidRPr="00C35301" w:rsidRDefault="008112E7" w:rsidP="00727BF5">
      <w:pPr>
        <w:spacing w:line="259" w:lineRule="auto"/>
        <w:rPr>
          <w:rFonts w:cs="Arial"/>
          <w:color w:val="333333"/>
          <w:shd w:val="clear" w:color="auto" w:fill="FFFFFF"/>
        </w:rPr>
      </w:pPr>
    </w:p>
    <w:p w14:paraId="6DF4A72C" w14:textId="14DFC452" w:rsidR="00BB74F9" w:rsidRDefault="60EF9637" w:rsidP="00727BF5">
      <w:pPr>
        <w:shd w:val="clear" w:color="auto" w:fill="FFFFFF" w:themeFill="background1"/>
        <w:spacing w:line="259" w:lineRule="auto"/>
        <w:rPr>
          <w:rFonts w:eastAsia="Arial" w:cs="Arial"/>
          <w:color w:val="333333"/>
        </w:rPr>
      </w:pPr>
      <w:r w:rsidRPr="0842DDBE">
        <w:rPr>
          <w:rFonts w:eastAsia="Arial" w:cs="Arial"/>
          <w:color w:val="333333"/>
        </w:rPr>
        <w:t xml:space="preserve">The data items submitted from 15 January 2024 onwards </w:t>
      </w:r>
      <w:r w:rsidR="00653622">
        <w:rPr>
          <w:rFonts w:eastAsia="Arial" w:cs="Arial"/>
          <w:color w:val="333333"/>
        </w:rPr>
        <w:t xml:space="preserve">reflect </w:t>
      </w:r>
      <w:r w:rsidRPr="0842DDBE">
        <w:rPr>
          <w:rFonts w:eastAsia="Arial" w:cs="Arial"/>
          <w:color w:val="333333"/>
        </w:rPr>
        <w:t>improved definitions and therefore comparability of figures before this date should be done with caution</w:t>
      </w:r>
      <w:r w:rsidR="00BB7D12">
        <w:rPr>
          <w:rFonts w:eastAsia="Arial" w:cs="Arial"/>
          <w:color w:val="333333"/>
        </w:rPr>
        <w:t>.</w:t>
      </w:r>
    </w:p>
    <w:p w14:paraId="0CA52198" w14:textId="77777777" w:rsidR="004B400A" w:rsidRPr="00C35301" w:rsidRDefault="004B400A" w:rsidP="00727BF5">
      <w:pPr>
        <w:shd w:val="clear" w:color="auto" w:fill="FFFFFF" w:themeFill="background1"/>
        <w:spacing w:line="259" w:lineRule="auto"/>
        <w:rPr>
          <w:rFonts w:eastAsia="Arial" w:cs="Arial"/>
          <w:color w:val="333333"/>
        </w:rPr>
      </w:pPr>
    </w:p>
    <w:p w14:paraId="478328C5" w14:textId="77777777" w:rsidR="0069629E" w:rsidRDefault="4A43F365">
      <w:pPr>
        <w:spacing w:after="160" w:line="259" w:lineRule="auto"/>
        <w:rPr>
          <w:rFonts w:cs="Arial"/>
          <w:b/>
          <w:bCs/>
        </w:rPr>
      </w:pPr>
      <w:r w:rsidRPr="0842DDBE">
        <w:rPr>
          <w:rFonts w:cs="Arial"/>
          <w:b/>
          <w:bCs/>
        </w:rPr>
        <w:t xml:space="preserve">Chart 1 </w:t>
      </w:r>
    </w:p>
    <w:p w14:paraId="397979C4" w14:textId="30E30222" w:rsidR="00F91DF0" w:rsidRPr="00F91DF0" w:rsidRDefault="00F91DF0" w:rsidP="00F91DF0">
      <w:pPr>
        <w:spacing w:before="100" w:beforeAutospacing="1" w:after="100" w:afterAutospacing="1"/>
        <w:rPr>
          <w:rFonts w:ascii="Times New Roman" w:hAnsi="Times New Roman"/>
          <w:sz w:val="24"/>
          <w:szCs w:val="24"/>
          <w:lang w:eastAsia="en-GB"/>
        </w:rPr>
      </w:pPr>
      <w:r w:rsidRPr="00F91DF0">
        <w:rPr>
          <w:rFonts w:ascii="Times New Roman" w:hAnsi="Times New Roman"/>
          <w:noProof/>
          <w:sz w:val="24"/>
          <w:szCs w:val="24"/>
          <w:lang w:eastAsia="en-GB"/>
        </w:rPr>
        <w:drawing>
          <wp:inline distT="0" distB="0" distL="0" distR="0" wp14:anchorId="16403D39" wp14:editId="4A70D958">
            <wp:extent cx="5926455" cy="3348355"/>
            <wp:effectExtent l="0" t="0" r="0" b="4445"/>
            <wp:docPr id="1804780653" name="Picture 9" descr="A graph showing the number of people waiting for a social care assess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780653" name="Picture 9" descr="A graph showing the number of people waiting for a social care assessment&#10;&#10;Description automatically generate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26455" cy="3348355"/>
                    </a:xfrm>
                    <a:prstGeom prst="rect">
                      <a:avLst/>
                    </a:prstGeom>
                    <a:noFill/>
                    <a:ln>
                      <a:noFill/>
                    </a:ln>
                  </pic:spPr>
                </pic:pic>
              </a:graphicData>
            </a:graphic>
          </wp:inline>
        </w:drawing>
      </w:r>
    </w:p>
    <w:p w14:paraId="0F340922" w14:textId="388FCF38" w:rsidR="00A348BD" w:rsidRDefault="00A348BD">
      <w:pPr>
        <w:spacing w:after="160" w:line="259" w:lineRule="auto"/>
        <w:rPr>
          <w:rFonts w:cs="Arial"/>
          <w:b/>
        </w:rPr>
      </w:pPr>
    </w:p>
    <w:p w14:paraId="3B3EACB2" w14:textId="5D16BB78" w:rsidR="00DF420E" w:rsidRDefault="00DF420E" w:rsidP="00653622">
      <w:pPr>
        <w:spacing w:line="259" w:lineRule="auto"/>
        <w:rPr>
          <w:rFonts w:cs="Arial"/>
          <w:b/>
          <w:bCs/>
        </w:rPr>
      </w:pPr>
      <w:r w:rsidRPr="0842DDBE">
        <w:rPr>
          <w:rFonts w:cs="Arial"/>
          <w:b/>
          <w:bCs/>
        </w:rPr>
        <w:t xml:space="preserve">In Dundee as </w:t>
      </w:r>
      <w:proofErr w:type="gramStart"/>
      <w:r w:rsidRPr="0842DDBE">
        <w:rPr>
          <w:rFonts w:cs="Arial"/>
          <w:b/>
          <w:bCs/>
        </w:rPr>
        <w:t>at</w:t>
      </w:r>
      <w:proofErr w:type="gramEnd"/>
      <w:r w:rsidRPr="0842DDBE">
        <w:rPr>
          <w:rFonts w:cs="Arial"/>
          <w:b/>
          <w:bCs/>
        </w:rPr>
        <w:t xml:space="preserve"> </w:t>
      </w:r>
      <w:r w:rsidR="00B57E01">
        <w:rPr>
          <w:rFonts w:cs="Arial"/>
          <w:b/>
          <w:bCs/>
        </w:rPr>
        <w:t>24</w:t>
      </w:r>
      <w:r w:rsidR="001F6F39" w:rsidRPr="0842DDBE">
        <w:rPr>
          <w:rFonts w:cs="Arial"/>
          <w:b/>
          <w:bCs/>
        </w:rPr>
        <w:t xml:space="preserve"> </w:t>
      </w:r>
      <w:r w:rsidR="00B57E01">
        <w:rPr>
          <w:rFonts w:cs="Arial"/>
          <w:b/>
          <w:bCs/>
        </w:rPr>
        <w:t>June</w:t>
      </w:r>
      <w:r w:rsidR="30067279" w:rsidRPr="0842DDBE">
        <w:rPr>
          <w:rFonts w:cs="Arial"/>
          <w:b/>
          <w:bCs/>
        </w:rPr>
        <w:t xml:space="preserve"> 2024</w:t>
      </w:r>
      <w:r w:rsidR="00A864F4" w:rsidRPr="0842DDBE">
        <w:rPr>
          <w:rFonts w:cs="Arial"/>
          <w:b/>
          <w:bCs/>
        </w:rPr>
        <w:t>:</w:t>
      </w:r>
    </w:p>
    <w:p w14:paraId="6CAAFDCD" w14:textId="3C05EE43" w:rsidR="00DF420E" w:rsidRDefault="00DF420E" w:rsidP="00653622">
      <w:pPr>
        <w:pStyle w:val="ListParagraph"/>
        <w:numPr>
          <w:ilvl w:val="0"/>
          <w:numId w:val="2"/>
        </w:numPr>
        <w:spacing w:line="259" w:lineRule="auto"/>
        <w:jc w:val="both"/>
        <w:rPr>
          <w:rFonts w:cs="Arial"/>
        </w:rPr>
      </w:pPr>
      <w:r w:rsidRPr="0842DDBE">
        <w:rPr>
          <w:rFonts w:cs="Arial"/>
        </w:rPr>
        <w:t xml:space="preserve">0 people waited in hospital and </w:t>
      </w:r>
      <w:r w:rsidR="033196D6" w:rsidRPr="0842DDBE">
        <w:rPr>
          <w:rFonts w:cs="Arial"/>
        </w:rPr>
        <w:t>1</w:t>
      </w:r>
      <w:r w:rsidR="00422976">
        <w:rPr>
          <w:rFonts w:cs="Arial"/>
        </w:rPr>
        <w:t>19</w:t>
      </w:r>
      <w:r w:rsidRPr="0842DDBE">
        <w:rPr>
          <w:rFonts w:cs="Arial"/>
        </w:rPr>
        <w:t xml:space="preserve"> people waited in the community for a social care assessment.  </w:t>
      </w:r>
    </w:p>
    <w:p w14:paraId="5E00CBDB" w14:textId="09BDA2ED" w:rsidR="00257BD9" w:rsidRPr="00994B9E" w:rsidRDefault="00DF420E" w:rsidP="00B447E2">
      <w:pPr>
        <w:pStyle w:val="ListParagraph"/>
        <w:numPr>
          <w:ilvl w:val="0"/>
          <w:numId w:val="2"/>
        </w:numPr>
        <w:spacing w:after="160" w:line="259" w:lineRule="auto"/>
        <w:jc w:val="both"/>
        <w:rPr>
          <w:rFonts w:cs="Arial"/>
          <w:b/>
        </w:rPr>
      </w:pPr>
      <w:r w:rsidRPr="00727BF5">
        <w:rPr>
          <w:rFonts w:cs="Arial"/>
        </w:rPr>
        <w:t xml:space="preserve">0 people have waited in hospital each week since </w:t>
      </w:r>
      <w:r w:rsidR="001F6F39" w:rsidRPr="00727BF5">
        <w:rPr>
          <w:rFonts w:cs="Arial"/>
        </w:rPr>
        <w:t>17</w:t>
      </w:r>
      <w:r w:rsidRPr="00727BF5">
        <w:rPr>
          <w:rFonts w:cs="Arial"/>
        </w:rPr>
        <w:t xml:space="preserve"> October 2022</w:t>
      </w:r>
      <w:r w:rsidR="001F46B8" w:rsidRPr="00727BF5">
        <w:rPr>
          <w:rFonts w:cs="Arial"/>
        </w:rPr>
        <w:t>.</w:t>
      </w:r>
    </w:p>
    <w:p w14:paraId="4DC31A9F" w14:textId="77777777" w:rsidR="00994B9E" w:rsidRPr="00994B9E" w:rsidRDefault="00994B9E" w:rsidP="00994B9E">
      <w:pPr>
        <w:pStyle w:val="ListParagraph"/>
        <w:spacing w:after="160" w:line="259" w:lineRule="auto"/>
        <w:ind w:left="1440"/>
        <w:jc w:val="both"/>
        <w:rPr>
          <w:rFonts w:cs="Arial"/>
          <w:b/>
        </w:rPr>
      </w:pPr>
    </w:p>
    <w:p w14:paraId="0C43948B" w14:textId="77777777" w:rsidR="00994B9E" w:rsidRDefault="00994B9E" w:rsidP="00994B9E">
      <w:pPr>
        <w:spacing w:after="160" w:line="259" w:lineRule="auto"/>
        <w:ind w:left="1080"/>
        <w:rPr>
          <w:rFonts w:cs="Arial"/>
          <w:b/>
        </w:rPr>
      </w:pPr>
    </w:p>
    <w:p w14:paraId="64442407" w14:textId="77777777" w:rsidR="00994B9E" w:rsidRDefault="00994B9E" w:rsidP="00994B9E">
      <w:pPr>
        <w:spacing w:after="160" w:line="259" w:lineRule="auto"/>
        <w:ind w:left="1080"/>
        <w:rPr>
          <w:rFonts w:cs="Arial"/>
          <w:b/>
        </w:rPr>
      </w:pPr>
    </w:p>
    <w:p w14:paraId="6814BD15" w14:textId="77777777" w:rsidR="00994B9E" w:rsidRDefault="00994B9E" w:rsidP="00994B9E">
      <w:pPr>
        <w:spacing w:after="160" w:line="259" w:lineRule="auto"/>
        <w:ind w:left="1080"/>
        <w:rPr>
          <w:rFonts w:cs="Arial"/>
          <w:b/>
        </w:rPr>
      </w:pPr>
    </w:p>
    <w:p w14:paraId="6039F479" w14:textId="77777777" w:rsidR="00994B9E" w:rsidRDefault="00994B9E" w:rsidP="00994B9E">
      <w:pPr>
        <w:spacing w:after="160" w:line="259" w:lineRule="auto"/>
        <w:ind w:left="1080"/>
        <w:rPr>
          <w:rFonts w:cs="Arial"/>
          <w:b/>
        </w:rPr>
      </w:pPr>
    </w:p>
    <w:p w14:paraId="72501B66" w14:textId="77777777" w:rsidR="00994B9E" w:rsidRDefault="00994B9E" w:rsidP="00994B9E">
      <w:pPr>
        <w:spacing w:after="160" w:line="259" w:lineRule="auto"/>
        <w:ind w:left="1080"/>
        <w:rPr>
          <w:rFonts w:cs="Arial"/>
          <w:b/>
        </w:rPr>
      </w:pPr>
    </w:p>
    <w:p w14:paraId="2E5B4C81" w14:textId="77777777" w:rsidR="00994B9E" w:rsidRDefault="00994B9E" w:rsidP="00994B9E">
      <w:pPr>
        <w:spacing w:after="160" w:line="259" w:lineRule="auto"/>
        <w:ind w:left="1080"/>
        <w:rPr>
          <w:rFonts w:cs="Arial"/>
          <w:b/>
        </w:rPr>
      </w:pPr>
    </w:p>
    <w:p w14:paraId="3BF31E86" w14:textId="77777777" w:rsidR="00994B9E" w:rsidRDefault="00994B9E" w:rsidP="00994B9E">
      <w:pPr>
        <w:spacing w:after="160" w:line="259" w:lineRule="auto"/>
        <w:ind w:left="1080"/>
        <w:rPr>
          <w:rFonts w:cs="Arial"/>
          <w:b/>
        </w:rPr>
      </w:pPr>
    </w:p>
    <w:p w14:paraId="4788659D" w14:textId="77777777" w:rsidR="00994B9E" w:rsidRDefault="00994B9E" w:rsidP="00994B9E">
      <w:pPr>
        <w:spacing w:after="160" w:line="259" w:lineRule="auto"/>
        <w:ind w:left="1080"/>
        <w:rPr>
          <w:rFonts w:cs="Arial"/>
          <w:b/>
        </w:rPr>
      </w:pPr>
    </w:p>
    <w:p w14:paraId="14DA9539" w14:textId="77777777" w:rsidR="00994B9E" w:rsidRDefault="00994B9E" w:rsidP="00994B9E">
      <w:pPr>
        <w:spacing w:after="160" w:line="259" w:lineRule="auto"/>
        <w:ind w:left="1080"/>
        <w:rPr>
          <w:rFonts w:cs="Arial"/>
          <w:b/>
        </w:rPr>
      </w:pPr>
    </w:p>
    <w:p w14:paraId="2E8A1BE0" w14:textId="64B31E93" w:rsidR="00994B9E" w:rsidRPr="00286228" w:rsidRDefault="00994B9E" w:rsidP="00286228">
      <w:pPr>
        <w:spacing w:after="160" w:line="259" w:lineRule="auto"/>
        <w:ind w:left="1080"/>
      </w:pPr>
      <w:r w:rsidRPr="00994B9E">
        <w:rPr>
          <w:rFonts w:cs="Arial"/>
          <w:b/>
        </w:rPr>
        <w:t>Chart 2</w:t>
      </w:r>
    </w:p>
    <w:p w14:paraId="57764D6E" w14:textId="18A6D52E" w:rsidR="009421B3" w:rsidRPr="009421B3" w:rsidRDefault="009421B3" w:rsidP="009421B3">
      <w:pPr>
        <w:spacing w:before="100" w:beforeAutospacing="1" w:after="100" w:afterAutospacing="1"/>
        <w:rPr>
          <w:rFonts w:ascii="Times New Roman" w:hAnsi="Times New Roman"/>
          <w:sz w:val="24"/>
          <w:szCs w:val="24"/>
          <w:lang w:eastAsia="en-GB"/>
        </w:rPr>
      </w:pPr>
      <w:r w:rsidRPr="009421B3">
        <w:rPr>
          <w:noProof/>
          <w:lang w:eastAsia="en-GB"/>
        </w:rPr>
        <w:drawing>
          <wp:inline distT="0" distB="0" distL="0" distR="0" wp14:anchorId="2CBFDC61" wp14:editId="40C0DBBC">
            <wp:extent cx="5755005" cy="3348355"/>
            <wp:effectExtent l="0" t="0" r="0" b="4445"/>
            <wp:docPr id="1678433499" name="Picture 10" descr="A graph showing the number of people involved in a care ho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433499" name="Picture 10" descr="A graph showing the number of people involved in a care home&#10;&#10;Description automatically generate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55005" cy="3348355"/>
                    </a:xfrm>
                    <a:prstGeom prst="rect">
                      <a:avLst/>
                    </a:prstGeom>
                    <a:noFill/>
                    <a:ln>
                      <a:noFill/>
                    </a:ln>
                  </pic:spPr>
                </pic:pic>
              </a:graphicData>
            </a:graphic>
          </wp:inline>
        </w:drawing>
      </w:r>
    </w:p>
    <w:p w14:paraId="11A812D8" w14:textId="16F0E972" w:rsidR="00DF420E" w:rsidRDefault="1C0BE842" w:rsidP="00653622">
      <w:pPr>
        <w:spacing w:line="259" w:lineRule="auto"/>
        <w:rPr>
          <w:rFonts w:cs="Arial"/>
          <w:b/>
          <w:bCs/>
        </w:rPr>
      </w:pPr>
      <w:r w:rsidRPr="7186D832">
        <w:rPr>
          <w:rFonts w:cs="Arial"/>
          <w:b/>
          <w:bCs/>
        </w:rPr>
        <w:t xml:space="preserve">In Dundee as </w:t>
      </w:r>
      <w:proofErr w:type="gramStart"/>
      <w:r w:rsidRPr="7186D832">
        <w:rPr>
          <w:rFonts w:cs="Arial"/>
          <w:b/>
          <w:bCs/>
        </w:rPr>
        <w:t>at</w:t>
      </w:r>
      <w:proofErr w:type="gramEnd"/>
      <w:r w:rsidRPr="7186D832">
        <w:rPr>
          <w:rFonts w:cs="Arial"/>
          <w:b/>
          <w:bCs/>
        </w:rPr>
        <w:t xml:space="preserve"> </w:t>
      </w:r>
      <w:r w:rsidR="68172407" w:rsidRPr="7186D832">
        <w:rPr>
          <w:rFonts w:cs="Arial"/>
          <w:b/>
          <w:bCs/>
        </w:rPr>
        <w:t>2</w:t>
      </w:r>
      <w:r w:rsidR="00CC457E">
        <w:rPr>
          <w:rFonts w:cs="Arial"/>
          <w:b/>
          <w:bCs/>
        </w:rPr>
        <w:t>4</w:t>
      </w:r>
      <w:r w:rsidR="30E3E5E1" w:rsidRPr="7186D832">
        <w:rPr>
          <w:rFonts w:cs="Arial"/>
          <w:b/>
          <w:bCs/>
        </w:rPr>
        <w:t xml:space="preserve"> </w:t>
      </w:r>
      <w:r w:rsidR="00B207FB">
        <w:rPr>
          <w:rFonts w:cs="Arial"/>
          <w:b/>
          <w:bCs/>
        </w:rPr>
        <w:t>June</w:t>
      </w:r>
      <w:r w:rsidRPr="7186D832">
        <w:rPr>
          <w:rFonts w:cs="Arial"/>
          <w:b/>
          <w:bCs/>
        </w:rPr>
        <w:t xml:space="preserve"> 202</w:t>
      </w:r>
      <w:r w:rsidR="134D5A6E" w:rsidRPr="7186D832">
        <w:rPr>
          <w:rFonts w:cs="Arial"/>
          <w:b/>
          <w:bCs/>
        </w:rPr>
        <w:t>4</w:t>
      </w:r>
      <w:r w:rsidR="37BA0230" w:rsidRPr="7186D832">
        <w:rPr>
          <w:rFonts w:cs="Arial"/>
          <w:b/>
          <w:bCs/>
        </w:rPr>
        <w:t>:</w:t>
      </w:r>
    </w:p>
    <w:p w14:paraId="7516244F" w14:textId="1DE54ABA" w:rsidR="00DD7E18" w:rsidRPr="00653622" w:rsidRDefault="00B207FB" w:rsidP="00B447E2">
      <w:pPr>
        <w:pStyle w:val="ListParagraph"/>
        <w:numPr>
          <w:ilvl w:val="0"/>
          <w:numId w:val="2"/>
        </w:numPr>
        <w:spacing w:line="259" w:lineRule="auto"/>
        <w:jc w:val="both"/>
        <w:rPr>
          <w:rFonts w:cs="Arial"/>
          <w:b/>
        </w:rPr>
      </w:pPr>
      <w:bookmarkStart w:id="4" w:name="_Hlk139550646"/>
      <w:r>
        <w:rPr>
          <w:rFonts w:cs="Arial"/>
        </w:rPr>
        <w:t>11</w:t>
      </w:r>
      <w:r w:rsidR="55D1FBEB" w:rsidRPr="00653622">
        <w:rPr>
          <w:rFonts w:cs="Arial"/>
        </w:rPr>
        <w:t xml:space="preserve"> people were assessed and were waiting in hospital for a care at home package</w:t>
      </w:r>
      <w:r w:rsidR="008B6ADB" w:rsidRPr="00653622">
        <w:rPr>
          <w:rFonts w:cs="Arial"/>
        </w:rPr>
        <w:t>.</w:t>
      </w:r>
      <w:r w:rsidR="00DD7E18" w:rsidRPr="00653622">
        <w:rPr>
          <w:rFonts w:cs="Arial"/>
        </w:rPr>
        <w:t xml:space="preserve">  </w:t>
      </w:r>
    </w:p>
    <w:p w14:paraId="1C4E7453" w14:textId="39122ED8" w:rsidR="00257BD9" w:rsidRPr="00653622" w:rsidRDefault="00B207FB" w:rsidP="00B447E2">
      <w:pPr>
        <w:pStyle w:val="ListParagraph"/>
        <w:numPr>
          <w:ilvl w:val="0"/>
          <w:numId w:val="2"/>
        </w:numPr>
        <w:spacing w:after="160" w:line="259" w:lineRule="auto"/>
        <w:jc w:val="both"/>
        <w:rPr>
          <w:rFonts w:cs="Arial"/>
          <w:b/>
          <w:bCs/>
        </w:rPr>
      </w:pPr>
      <w:r>
        <w:rPr>
          <w:rFonts w:cs="Arial"/>
        </w:rPr>
        <w:t>23</w:t>
      </w:r>
      <w:r w:rsidR="55D1FBEB" w:rsidRPr="00653622">
        <w:rPr>
          <w:rFonts w:cs="Arial"/>
        </w:rPr>
        <w:t xml:space="preserve"> people were assessed and were waiting in the community for a care at home package</w:t>
      </w:r>
      <w:r w:rsidR="008B6ADB" w:rsidRPr="00653622">
        <w:rPr>
          <w:rFonts w:cs="Arial"/>
        </w:rPr>
        <w:t>.</w:t>
      </w:r>
      <w:bookmarkEnd w:id="4"/>
    </w:p>
    <w:p w14:paraId="39E29329" w14:textId="7376217D" w:rsidR="0842DDBE" w:rsidRDefault="00B43FE2" w:rsidP="0842DDBE">
      <w:pPr>
        <w:spacing w:after="160" w:line="259" w:lineRule="auto"/>
        <w:rPr>
          <w:rFonts w:cs="Arial"/>
          <w:b/>
          <w:bCs/>
        </w:rPr>
      </w:pPr>
      <w:r w:rsidRPr="0842DDBE">
        <w:rPr>
          <w:rFonts w:cs="Arial"/>
          <w:b/>
          <w:bCs/>
        </w:rPr>
        <w:t xml:space="preserve">Chart </w:t>
      </w:r>
      <w:r w:rsidR="00DD7E18" w:rsidRPr="0842DDBE">
        <w:rPr>
          <w:rFonts w:cs="Arial"/>
          <w:b/>
          <w:bCs/>
        </w:rPr>
        <w:t>3</w:t>
      </w:r>
    </w:p>
    <w:p w14:paraId="56DF54A3" w14:textId="54D40A66" w:rsidR="007E4B8D" w:rsidRPr="007E4B8D" w:rsidRDefault="007E4B8D" w:rsidP="007E4B8D">
      <w:pPr>
        <w:spacing w:before="100" w:beforeAutospacing="1" w:after="100" w:afterAutospacing="1"/>
        <w:rPr>
          <w:rFonts w:ascii="Times New Roman" w:hAnsi="Times New Roman"/>
          <w:sz w:val="24"/>
          <w:szCs w:val="24"/>
          <w:lang w:eastAsia="en-GB"/>
        </w:rPr>
      </w:pPr>
      <w:r w:rsidRPr="007E4B8D">
        <w:rPr>
          <w:rFonts w:ascii="Times New Roman" w:hAnsi="Times New Roman"/>
          <w:noProof/>
          <w:sz w:val="24"/>
          <w:szCs w:val="24"/>
          <w:lang w:eastAsia="en-GB"/>
        </w:rPr>
        <w:drawing>
          <wp:inline distT="0" distB="0" distL="0" distR="0" wp14:anchorId="5F8044E1" wp14:editId="28E5761B">
            <wp:extent cx="5926455" cy="3238500"/>
            <wp:effectExtent l="0" t="0" r="0" b="0"/>
            <wp:docPr id="375105852" name="Picture 11" descr="A graph showing the number of hours of c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105852" name="Picture 11" descr="A graph showing the number of hours of care&#10;&#10;Description automatically generate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26455" cy="3238500"/>
                    </a:xfrm>
                    <a:prstGeom prst="rect">
                      <a:avLst/>
                    </a:prstGeom>
                    <a:noFill/>
                    <a:ln>
                      <a:noFill/>
                    </a:ln>
                  </pic:spPr>
                </pic:pic>
              </a:graphicData>
            </a:graphic>
          </wp:inline>
        </w:drawing>
      </w:r>
    </w:p>
    <w:p w14:paraId="57B9BB16" w14:textId="05F0C141" w:rsidR="38F59C48" w:rsidRDefault="38F59C48" w:rsidP="0842DDBE">
      <w:pPr>
        <w:spacing w:after="160" w:line="259" w:lineRule="auto"/>
        <w:rPr>
          <w:rFonts w:cs="Arial"/>
          <w:b/>
          <w:bCs/>
        </w:rPr>
      </w:pPr>
    </w:p>
    <w:p w14:paraId="0C9A4177" w14:textId="77777777" w:rsidR="006E3AAD" w:rsidRDefault="006E3AAD" w:rsidP="0842DDBE">
      <w:pPr>
        <w:spacing w:after="160" w:line="259" w:lineRule="auto"/>
      </w:pPr>
    </w:p>
    <w:p w14:paraId="380A516B" w14:textId="168099A4" w:rsidR="000045EA" w:rsidRDefault="000045EA" w:rsidP="00653622">
      <w:pPr>
        <w:spacing w:line="259" w:lineRule="auto"/>
        <w:rPr>
          <w:rFonts w:cs="Arial"/>
          <w:b/>
          <w:bCs/>
        </w:rPr>
      </w:pPr>
      <w:r w:rsidRPr="0842DDBE">
        <w:rPr>
          <w:rFonts w:cs="Arial"/>
          <w:b/>
          <w:bCs/>
        </w:rPr>
        <w:t xml:space="preserve">In Dundee as </w:t>
      </w:r>
      <w:proofErr w:type="gramStart"/>
      <w:r w:rsidRPr="0842DDBE">
        <w:rPr>
          <w:rFonts w:cs="Arial"/>
          <w:b/>
          <w:bCs/>
        </w:rPr>
        <w:t>at</w:t>
      </w:r>
      <w:proofErr w:type="gramEnd"/>
      <w:r w:rsidRPr="0842DDBE">
        <w:rPr>
          <w:rFonts w:cs="Arial"/>
          <w:b/>
          <w:bCs/>
        </w:rPr>
        <w:t xml:space="preserve"> </w:t>
      </w:r>
      <w:r w:rsidR="6F4484F8" w:rsidRPr="0842DDBE">
        <w:rPr>
          <w:rFonts w:cs="Arial"/>
          <w:b/>
          <w:bCs/>
        </w:rPr>
        <w:t>2</w:t>
      </w:r>
      <w:r w:rsidR="006E3AAD">
        <w:rPr>
          <w:rFonts w:cs="Arial"/>
          <w:b/>
          <w:bCs/>
        </w:rPr>
        <w:t>4</w:t>
      </w:r>
      <w:r w:rsidR="006C6370" w:rsidRPr="0842DDBE">
        <w:rPr>
          <w:rFonts w:cs="Arial"/>
          <w:b/>
          <w:bCs/>
        </w:rPr>
        <w:t xml:space="preserve"> </w:t>
      </w:r>
      <w:r w:rsidR="006E3AAD">
        <w:rPr>
          <w:rFonts w:cs="Arial"/>
          <w:b/>
          <w:bCs/>
        </w:rPr>
        <w:t>June</w:t>
      </w:r>
      <w:r w:rsidRPr="0842DDBE">
        <w:rPr>
          <w:rFonts w:cs="Arial"/>
          <w:b/>
          <w:bCs/>
        </w:rPr>
        <w:t xml:space="preserve"> 202</w:t>
      </w:r>
      <w:r w:rsidR="1BEC0AF1" w:rsidRPr="0842DDBE">
        <w:rPr>
          <w:rFonts w:cs="Arial"/>
          <w:b/>
          <w:bCs/>
        </w:rPr>
        <w:t>4</w:t>
      </w:r>
      <w:r w:rsidR="00A864F4" w:rsidRPr="0842DDBE">
        <w:rPr>
          <w:rFonts w:cs="Arial"/>
          <w:b/>
          <w:bCs/>
        </w:rPr>
        <w:t>:</w:t>
      </w:r>
    </w:p>
    <w:p w14:paraId="0892A26F" w14:textId="77777777" w:rsidR="00653622" w:rsidRPr="00C35301" w:rsidRDefault="00653622" w:rsidP="00653622">
      <w:pPr>
        <w:spacing w:line="259" w:lineRule="auto"/>
        <w:rPr>
          <w:rFonts w:cs="Arial"/>
          <w:b/>
          <w:bCs/>
        </w:rPr>
      </w:pPr>
    </w:p>
    <w:p w14:paraId="24539153" w14:textId="21CBEAE9" w:rsidR="00347332" w:rsidRPr="00175CE4" w:rsidRDefault="000D1E0D" w:rsidP="00653622">
      <w:pPr>
        <w:pStyle w:val="ListParagraph"/>
        <w:numPr>
          <w:ilvl w:val="0"/>
          <w:numId w:val="2"/>
        </w:numPr>
        <w:jc w:val="both"/>
        <w:rPr>
          <w:rFonts w:cs="Arial"/>
        </w:rPr>
      </w:pPr>
      <w:bookmarkStart w:id="5" w:name="_Hlk139550662"/>
      <w:r w:rsidRPr="00175CE4">
        <w:rPr>
          <w:rFonts w:cs="Arial"/>
        </w:rPr>
        <w:t>11</w:t>
      </w:r>
      <w:r w:rsidR="00DD7E18" w:rsidRPr="00175CE4">
        <w:rPr>
          <w:rFonts w:cs="Arial"/>
        </w:rPr>
        <w:t xml:space="preserve"> people were assessed and waiting for a care at home package in hospital (</w:t>
      </w:r>
      <w:r w:rsidR="003E3F79" w:rsidRPr="00175CE4">
        <w:rPr>
          <w:rFonts w:cs="Arial"/>
        </w:rPr>
        <w:t>165</w:t>
      </w:r>
      <w:r w:rsidR="00DD7E18" w:rsidRPr="00175CE4">
        <w:rPr>
          <w:rFonts w:cs="Arial"/>
        </w:rPr>
        <w:t xml:space="preserve"> hours yet to be provided)</w:t>
      </w:r>
      <w:r w:rsidR="00FD3C14" w:rsidRPr="00175CE4">
        <w:rPr>
          <w:rFonts w:cs="Arial"/>
        </w:rPr>
        <w:t xml:space="preserve">. </w:t>
      </w:r>
    </w:p>
    <w:p w14:paraId="457A5AB3" w14:textId="7A2416BA" w:rsidR="00347332" w:rsidRPr="00175CE4" w:rsidRDefault="000D1E0D" w:rsidP="00653622">
      <w:pPr>
        <w:pStyle w:val="ListParagraph"/>
        <w:numPr>
          <w:ilvl w:val="0"/>
          <w:numId w:val="2"/>
        </w:numPr>
        <w:jc w:val="both"/>
        <w:rPr>
          <w:rFonts w:cs="Arial"/>
        </w:rPr>
      </w:pPr>
      <w:r w:rsidRPr="00175CE4">
        <w:rPr>
          <w:rFonts w:cs="Arial"/>
        </w:rPr>
        <w:t>23</w:t>
      </w:r>
      <w:r w:rsidR="00DD7E18" w:rsidRPr="00175CE4">
        <w:rPr>
          <w:rFonts w:cs="Arial"/>
        </w:rPr>
        <w:t>people were assessed and waiting for a care at home package in the community (</w:t>
      </w:r>
      <w:r w:rsidR="1A9193DB" w:rsidRPr="00175CE4">
        <w:rPr>
          <w:rFonts w:cs="Arial"/>
        </w:rPr>
        <w:t>1</w:t>
      </w:r>
      <w:r w:rsidR="003E3F79" w:rsidRPr="00175CE4">
        <w:rPr>
          <w:rFonts w:cs="Arial"/>
        </w:rPr>
        <w:t>35</w:t>
      </w:r>
      <w:r w:rsidR="00DD7E18" w:rsidRPr="00175CE4">
        <w:rPr>
          <w:rFonts w:cs="Arial"/>
        </w:rPr>
        <w:t xml:space="preserve"> hours yet to be provided). </w:t>
      </w:r>
      <w:bookmarkEnd w:id="5"/>
    </w:p>
    <w:p w14:paraId="35573BD5" w14:textId="546BC53B" w:rsidR="000045EA" w:rsidRPr="00D54E0F" w:rsidRDefault="000045EA" w:rsidP="00347332">
      <w:pPr>
        <w:pStyle w:val="ListParagraph"/>
        <w:ind w:left="1440"/>
        <w:jc w:val="both"/>
        <w:rPr>
          <w:rFonts w:cs="Arial"/>
          <w:color w:val="FF0000"/>
        </w:rPr>
      </w:pPr>
    </w:p>
    <w:p w14:paraId="267C0930" w14:textId="6C4DA2C1" w:rsidR="004E50CD" w:rsidRDefault="004E50CD" w:rsidP="000045EA">
      <w:pPr>
        <w:jc w:val="both"/>
        <w:rPr>
          <w:rFonts w:cs="Arial"/>
        </w:rPr>
      </w:pPr>
    </w:p>
    <w:p w14:paraId="165E8916" w14:textId="7EE7DA22" w:rsidR="004E50CD" w:rsidRPr="004E50CD" w:rsidRDefault="00653622" w:rsidP="000045EA">
      <w:pPr>
        <w:jc w:val="both"/>
        <w:rPr>
          <w:rFonts w:cs="Arial"/>
          <w:b/>
        </w:rPr>
      </w:pPr>
      <w:r>
        <w:rPr>
          <w:rFonts w:cs="Arial"/>
          <w:b/>
        </w:rPr>
        <w:t>C</w:t>
      </w:r>
      <w:r w:rsidR="004E50CD" w:rsidRPr="004E50CD">
        <w:rPr>
          <w:rFonts w:cs="Arial"/>
          <w:b/>
        </w:rPr>
        <w:t>hart 4</w:t>
      </w:r>
    </w:p>
    <w:p w14:paraId="65ECD5CF" w14:textId="77777777" w:rsidR="004E50CD" w:rsidRDefault="004E50CD" w:rsidP="000045EA">
      <w:pPr>
        <w:jc w:val="both"/>
        <w:rPr>
          <w:rFonts w:cs="Arial"/>
        </w:rPr>
      </w:pPr>
    </w:p>
    <w:p w14:paraId="0414D3C1" w14:textId="66BEA01D" w:rsidR="003E40CD" w:rsidRPr="003E40CD" w:rsidRDefault="003E40CD" w:rsidP="003E40CD">
      <w:pPr>
        <w:spacing w:before="100" w:beforeAutospacing="1" w:after="100" w:afterAutospacing="1"/>
        <w:rPr>
          <w:rFonts w:ascii="Times New Roman" w:hAnsi="Times New Roman"/>
          <w:sz w:val="24"/>
          <w:szCs w:val="24"/>
          <w:lang w:eastAsia="en-GB"/>
        </w:rPr>
      </w:pPr>
      <w:r w:rsidRPr="003E40CD">
        <w:rPr>
          <w:rFonts w:ascii="Times New Roman" w:hAnsi="Times New Roman"/>
          <w:noProof/>
          <w:sz w:val="24"/>
          <w:szCs w:val="24"/>
          <w:lang w:eastAsia="en-GB"/>
        </w:rPr>
        <w:drawing>
          <wp:inline distT="0" distB="0" distL="0" distR="0" wp14:anchorId="7BC65E19" wp14:editId="00B44EC7">
            <wp:extent cx="5926455" cy="3239135"/>
            <wp:effectExtent l="0" t="0" r="0" b="0"/>
            <wp:docPr id="1060033647" name="Picture 9" descr="A graph showing the number of hours of care ass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33647" name="Picture 9" descr="A graph showing the number of hours of care assess&#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26455" cy="3239135"/>
                    </a:xfrm>
                    <a:prstGeom prst="rect">
                      <a:avLst/>
                    </a:prstGeom>
                    <a:noFill/>
                    <a:ln>
                      <a:noFill/>
                    </a:ln>
                  </pic:spPr>
                </pic:pic>
              </a:graphicData>
            </a:graphic>
          </wp:inline>
        </w:drawing>
      </w:r>
    </w:p>
    <w:p w14:paraId="294ABC88" w14:textId="332F8380" w:rsidR="000045EA" w:rsidRDefault="000045EA" w:rsidP="000045EA">
      <w:pPr>
        <w:jc w:val="both"/>
        <w:rPr>
          <w:rFonts w:cs="Arial"/>
        </w:rPr>
      </w:pPr>
    </w:p>
    <w:p w14:paraId="3FC96DB1" w14:textId="45837A91" w:rsidR="000045EA" w:rsidRPr="00C35301" w:rsidRDefault="000045EA" w:rsidP="0842DDBE">
      <w:pPr>
        <w:spacing w:after="160" w:line="259" w:lineRule="auto"/>
        <w:rPr>
          <w:rFonts w:cs="Arial"/>
          <w:b/>
          <w:bCs/>
        </w:rPr>
      </w:pPr>
      <w:r w:rsidRPr="0842DDBE">
        <w:rPr>
          <w:rFonts w:cs="Arial"/>
          <w:b/>
          <w:bCs/>
        </w:rPr>
        <w:t xml:space="preserve">In Dundee as </w:t>
      </w:r>
      <w:proofErr w:type="gramStart"/>
      <w:r w:rsidRPr="0842DDBE">
        <w:rPr>
          <w:rFonts w:cs="Arial"/>
          <w:b/>
          <w:bCs/>
        </w:rPr>
        <w:t>at</w:t>
      </w:r>
      <w:proofErr w:type="gramEnd"/>
      <w:r w:rsidRPr="0842DDBE">
        <w:rPr>
          <w:rFonts w:cs="Arial"/>
          <w:b/>
          <w:bCs/>
        </w:rPr>
        <w:t xml:space="preserve"> </w:t>
      </w:r>
      <w:r w:rsidR="1174C7DA" w:rsidRPr="0842DDBE">
        <w:rPr>
          <w:rFonts w:cs="Arial"/>
          <w:b/>
          <w:bCs/>
        </w:rPr>
        <w:t>2</w:t>
      </w:r>
      <w:r w:rsidR="003E40CD">
        <w:rPr>
          <w:rFonts w:cs="Arial"/>
          <w:b/>
          <w:bCs/>
        </w:rPr>
        <w:t>4</w:t>
      </w:r>
      <w:r w:rsidR="009E3C75" w:rsidRPr="0842DDBE">
        <w:rPr>
          <w:rFonts w:cs="Arial"/>
          <w:b/>
          <w:bCs/>
        </w:rPr>
        <w:t xml:space="preserve"> </w:t>
      </w:r>
      <w:r w:rsidR="003E40CD">
        <w:rPr>
          <w:rFonts w:cs="Arial"/>
          <w:b/>
          <w:bCs/>
        </w:rPr>
        <w:t>June</w:t>
      </w:r>
      <w:r w:rsidR="647E3FCC" w:rsidRPr="0842DDBE">
        <w:rPr>
          <w:rFonts w:cs="Arial"/>
          <w:b/>
          <w:bCs/>
        </w:rPr>
        <w:t xml:space="preserve"> 2024</w:t>
      </w:r>
      <w:r w:rsidR="00A864F4" w:rsidRPr="0842DDBE">
        <w:rPr>
          <w:rFonts w:cs="Arial"/>
          <w:b/>
          <w:bCs/>
        </w:rPr>
        <w:t>:</w:t>
      </w:r>
    </w:p>
    <w:p w14:paraId="7F1D0043" w14:textId="77777777" w:rsidR="00C35301" w:rsidRPr="00C35301" w:rsidRDefault="00C35301" w:rsidP="00C35301">
      <w:pPr>
        <w:pStyle w:val="ListParagraph"/>
        <w:rPr>
          <w:rFonts w:cs="Arial"/>
        </w:rPr>
      </w:pPr>
    </w:p>
    <w:p w14:paraId="391A1EDA" w14:textId="26EB8501" w:rsidR="00DD7E18" w:rsidRDefault="00DD7E18" w:rsidP="00B447E2">
      <w:pPr>
        <w:pStyle w:val="ListParagraph"/>
        <w:numPr>
          <w:ilvl w:val="0"/>
          <w:numId w:val="2"/>
        </w:numPr>
        <w:jc w:val="both"/>
      </w:pPr>
      <w:r w:rsidRPr="00653622">
        <w:rPr>
          <w:rFonts w:cs="Arial"/>
        </w:rPr>
        <w:t xml:space="preserve">For those already in receipt of a care at home package </w:t>
      </w:r>
      <w:r w:rsidR="00347332" w:rsidRPr="00653622">
        <w:rPr>
          <w:rFonts w:cs="Arial"/>
        </w:rPr>
        <w:t>1</w:t>
      </w:r>
      <w:r w:rsidR="00687C2B">
        <w:rPr>
          <w:rFonts w:cs="Arial"/>
        </w:rPr>
        <w:t>28</w:t>
      </w:r>
      <w:r w:rsidRPr="00653622">
        <w:rPr>
          <w:rFonts w:cs="Arial"/>
        </w:rPr>
        <w:t xml:space="preserve"> additional hours were required and not provided. </w:t>
      </w:r>
    </w:p>
    <w:p w14:paraId="0A263BBD" w14:textId="77CE6D6A" w:rsidR="00A348BD" w:rsidRDefault="00A348BD">
      <w:pPr>
        <w:spacing w:after="160" w:line="259" w:lineRule="auto"/>
        <w:rPr>
          <w:rFonts w:cs="Arial"/>
          <w:b/>
          <w:sz w:val="22"/>
          <w:szCs w:val="22"/>
        </w:rPr>
      </w:pPr>
    </w:p>
    <w:p w14:paraId="3170EBEE" w14:textId="77777777" w:rsidR="00016869" w:rsidRDefault="00016869">
      <w:pPr>
        <w:spacing w:after="160" w:line="259" w:lineRule="auto"/>
        <w:rPr>
          <w:rFonts w:cs="Arial"/>
          <w:b/>
          <w:sz w:val="22"/>
          <w:szCs w:val="22"/>
        </w:rPr>
      </w:pPr>
      <w:r>
        <w:rPr>
          <w:rFonts w:cs="Arial"/>
          <w:b/>
          <w:sz w:val="22"/>
          <w:szCs w:val="22"/>
        </w:rPr>
        <w:br w:type="page"/>
      </w:r>
    </w:p>
    <w:p w14:paraId="3AD369EA" w14:textId="0DF60029" w:rsidR="007B3A6E" w:rsidRPr="007E10A5" w:rsidRDefault="007B3A6E" w:rsidP="007B3A6E">
      <w:pPr>
        <w:jc w:val="both"/>
      </w:pPr>
      <w:r>
        <w:rPr>
          <w:rFonts w:cs="Arial"/>
          <w:b/>
          <w:sz w:val="22"/>
          <w:szCs w:val="22"/>
        </w:rPr>
        <w:t xml:space="preserve">APPENDIX </w:t>
      </w:r>
      <w:r w:rsidR="00BB74F9">
        <w:rPr>
          <w:rFonts w:cs="Arial"/>
          <w:b/>
          <w:sz w:val="22"/>
          <w:szCs w:val="22"/>
        </w:rPr>
        <w:t>3</w:t>
      </w:r>
      <w:r>
        <w:rPr>
          <w:rFonts w:cs="Arial"/>
          <w:b/>
          <w:sz w:val="22"/>
          <w:szCs w:val="22"/>
        </w:rPr>
        <w:t xml:space="preserve"> – </w:t>
      </w:r>
      <w:r w:rsidRPr="007E10A5">
        <w:rPr>
          <w:b/>
        </w:rPr>
        <w:t>DATA SOURCES USED FOR MEASURING PERFORMANCE</w:t>
      </w:r>
    </w:p>
    <w:p w14:paraId="5B930282" w14:textId="77777777" w:rsidR="007B3A6E" w:rsidRPr="007E10A5" w:rsidRDefault="007B3A6E" w:rsidP="007B3A6E">
      <w:pPr>
        <w:jc w:val="both"/>
      </w:pPr>
    </w:p>
    <w:p w14:paraId="31D42086" w14:textId="77777777" w:rsidR="007B3A6E" w:rsidRPr="00E42BF2" w:rsidRDefault="007B3A6E" w:rsidP="007B3A6E">
      <w:pPr>
        <w:jc w:val="both"/>
        <w:rPr>
          <w:rFonts w:cs="Arial"/>
          <w:bCs/>
          <w:lang w:eastAsia="en-GB"/>
        </w:rPr>
      </w:pPr>
      <w:r w:rsidRPr="00E5229E">
        <w:t>The Quarter</w:t>
      </w:r>
      <w:r w:rsidR="00BA2E1D">
        <w:t>ly</w:t>
      </w:r>
      <w:r w:rsidRPr="00E5229E">
        <w:t xml:space="preserve"> Performance Report analyses performance against National Health and Wellbeing</w:t>
      </w:r>
      <w:r>
        <w:t> </w:t>
      </w:r>
      <w:r w:rsidRPr="00E5229E">
        <w:t xml:space="preserve">Indicators 1-23 and Measuring Performance Under Integration (MPUI) </w:t>
      </w:r>
      <w:r>
        <w:t>indicators</w:t>
      </w:r>
      <w:r w:rsidRPr="00E5229E">
        <w:t xml:space="preserve">. </w:t>
      </w:r>
      <w:r>
        <w:t xml:space="preserve"> </w:t>
      </w:r>
      <w:r w:rsidRPr="00E5229E">
        <w:t>5 of the 23</w:t>
      </w:r>
      <w:r>
        <w:t> </w:t>
      </w:r>
      <w:r w:rsidRPr="00E5229E">
        <w:t>National Health and Wellbeing Indicators are monitored quarterly (emergency admissions, emergency bed days, readmissions, falls admissions and delayed discharge bed days lost</w:t>
      </w:r>
      <w:r w:rsidR="00BA2E1D">
        <w:t>.</w:t>
      </w:r>
      <w:r w:rsidRPr="00E5229E">
        <w:t xml:space="preserve"> Data is provided both at Dundee and Local Community Planning Partnership (LCPP) level (where available).  Data is currently not available for eight out of the 13 National Indicators which are not reported using The Health and Social Care Experience Survey (see section 4.3). </w:t>
      </w:r>
      <w:r>
        <w:t xml:space="preserve"> </w:t>
      </w:r>
      <w:r w:rsidRPr="00E5229E">
        <w:t>The Scottish Government and Public Health Scotland are working on the development of definitions and datasets to calculate these indicators nationally.</w:t>
      </w:r>
    </w:p>
    <w:p w14:paraId="31F092B7" w14:textId="77777777" w:rsidR="007B3A6E" w:rsidRPr="00E42BF2" w:rsidRDefault="007B3A6E" w:rsidP="007B3A6E">
      <w:pPr>
        <w:ind w:left="720" w:hanging="720"/>
        <w:jc w:val="both"/>
        <w:rPr>
          <w:rFonts w:cs="Arial"/>
          <w:bCs/>
          <w:lang w:eastAsia="en-GB"/>
        </w:rPr>
      </w:pPr>
    </w:p>
    <w:p w14:paraId="75394EBE" w14:textId="77777777" w:rsidR="007B3A6E" w:rsidRPr="00C05614" w:rsidRDefault="007B3A6E" w:rsidP="007B3A6E">
      <w:pPr>
        <w:jc w:val="both"/>
        <w:rPr>
          <w:rFonts w:cs="Arial"/>
          <w:bCs/>
          <w:lang w:eastAsia="en-GB"/>
        </w:rPr>
      </w:pPr>
      <w:r w:rsidRPr="00E5229E">
        <w:t xml:space="preserve">The National Health and Wellbeing Indicators 1-9 are reported from The Health and Social Care Experience Survey administered by the Scottish Government which is conducted biennially.  </w:t>
      </w:r>
      <w:r w:rsidRPr="00E5229E">
        <w:rPr>
          <w:rFonts w:cs="Arial"/>
          <w:bCs/>
          <w:lang w:eastAsia="en-GB"/>
        </w:rPr>
        <w:t>Full</w:t>
      </w:r>
      <w:r>
        <w:rPr>
          <w:rFonts w:cs="Arial"/>
          <w:bCs/>
          <w:lang w:eastAsia="en-GB"/>
        </w:rPr>
        <w:t> </w:t>
      </w:r>
      <w:r w:rsidRPr="00E5229E">
        <w:rPr>
          <w:rFonts w:cs="Arial"/>
          <w:bCs/>
          <w:lang w:eastAsia="en-GB"/>
        </w:rPr>
        <w:t xml:space="preserve">details </w:t>
      </w:r>
      <w:r>
        <w:rPr>
          <w:rFonts w:cs="Arial"/>
          <w:bCs/>
          <w:lang w:eastAsia="en-GB"/>
        </w:rPr>
        <w:t>were</w:t>
      </w:r>
      <w:r w:rsidRPr="00E5229E">
        <w:rPr>
          <w:rFonts w:cs="Arial"/>
          <w:bCs/>
          <w:lang w:eastAsia="en-GB"/>
        </w:rPr>
        <w:t xml:space="preserve"> provided </w:t>
      </w:r>
      <w:r>
        <w:rPr>
          <w:rFonts w:cs="Arial"/>
          <w:bCs/>
          <w:lang w:eastAsia="en-GB"/>
        </w:rPr>
        <w:t xml:space="preserve">to the PAC in February 2021 </w:t>
      </w:r>
      <w:r>
        <w:t>(</w:t>
      </w:r>
      <w:r w:rsidRPr="000705DB">
        <w:t>Article V of</w:t>
      </w:r>
      <w:r>
        <w:t xml:space="preserve"> the minute of the Dundee Performance and Audit </w:t>
      </w:r>
      <w:r w:rsidR="000B453C">
        <w:t>Committee</w:t>
      </w:r>
      <w:r>
        <w:t xml:space="preserve"> held on 3 February 2021 refers).</w:t>
      </w:r>
      <w:r w:rsidRPr="00E5229E">
        <w:rPr>
          <w:rFonts w:cs="Arial"/>
          <w:bCs/>
          <w:color w:val="FF0000"/>
          <w:lang w:eastAsia="en-GB"/>
        </w:rPr>
        <w:t xml:space="preserve">  </w:t>
      </w:r>
      <w:r w:rsidRPr="00E5229E">
        <w:t>The Scottish Government changed the methodology used to filter responses to reflect people who receive services from the Partnership and therefore it is not possibl</w:t>
      </w:r>
      <w:r>
        <w:t>e</w:t>
      </w:r>
      <w:r w:rsidRPr="00E5229E">
        <w:t xml:space="preserve"> to longitudinally compare results for National Indicators 1-7 and 9.</w:t>
      </w:r>
    </w:p>
    <w:p w14:paraId="328ECE2E" w14:textId="77777777" w:rsidR="007B3A6E" w:rsidRPr="00C05614" w:rsidRDefault="007B3A6E" w:rsidP="007B3A6E">
      <w:pPr>
        <w:ind w:left="720" w:hanging="720"/>
        <w:jc w:val="both"/>
      </w:pPr>
    </w:p>
    <w:p w14:paraId="2B8877A1" w14:textId="77777777" w:rsidR="007B3A6E" w:rsidRDefault="00BA2E1D" w:rsidP="007B3A6E">
      <w:pPr>
        <w:jc w:val="both"/>
      </w:pPr>
      <w:r>
        <w:t>The quarterly performance report also</w:t>
      </w:r>
      <w:r w:rsidR="007B3A6E" w:rsidRPr="00E5229E">
        <w:t xml:space="preserve"> summarises performance against </w:t>
      </w:r>
      <w:r w:rsidR="007B3A6E">
        <w:t>indicators</w:t>
      </w:r>
      <w:r w:rsidR="007B3A6E" w:rsidRPr="00E5229E">
        <w:t xml:space="preserve"> in the Measuring Performance Under Integration (MPUI) </w:t>
      </w:r>
      <w:r w:rsidR="007B3A6E">
        <w:rPr>
          <w:rFonts w:cs="Arial"/>
        </w:rPr>
        <w:t>suite of indicators</w:t>
      </w:r>
      <w:r w:rsidR="007B3A6E" w:rsidRPr="00E5229E">
        <w:rPr>
          <w:rFonts w:cs="Arial"/>
        </w:rPr>
        <w:t xml:space="preserve"> </w:t>
      </w:r>
      <w:r w:rsidR="007B3A6E" w:rsidRPr="00E5229E">
        <w:t>for four out of six high level service delivery areas – emergency admissions, emergency bed days, accident and emergency and delayed discharges</w:t>
      </w:r>
      <w:r w:rsidR="0079396D">
        <w:t>, end of life and balance of care</w:t>
      </w:r>
      <w:r>
        <w:t>.</w:t>
      </w:r>
      <w:r w:rsidR="007B3A6E">
        <w:t xml:space="preserve"> In November 2020 the</w:t>
      </w:r>
      <w:r w:rsidR="007B3A6E" w:rsidRPr="00E5229E">
        <w:t xml:space="preserve"> Performance and Audit Committee agreed that </w:t>
      </w:r>
      <w:r w:rsidR="007B3A6E">
        <w:t>targets should not be set for 2020/21 for these indicators, however that the indicators should continue to be monitored in quarterly performance reports submitted to the PAC (</w:t>
      </w:r>
      <w:r w:rsidR="007B3A6E" w:rsidRPr="000705DB">
        <w:t>Article VI of</w:t>
      </w:r>
      <w:r w:rsidR="007B3A6E">
        <w:t xml:space="preserve"> the minute of the Dundee Performance and Audit </w:t>
      </w:r>
      <w:r w:rsidR="000B453C">
        <w:t>Committee</w:t>
      </w:r>
      <w:r w:rsidR="007B3A6E">
        <w:t xml:space="preserve"> held on 24 November 2020 refers).</w:t>
      </w:r>
    </w:p>
    <w:p w14:paraId="2D6228D1" w14:textId="77777777" w:rsidR="007B3A6E" w:rsidRDefault="007B3A6E" w:rsidP="007B3A6E">
      <w:pPr>
        <w:jc w:val="both"/>
      </w:pPr>
    </w:p>
    <w:p w14:paraId="29C49EC9" w14:textId="7F141DEF" w:rsidR="007B3A6E" w:rsidRPr="00C05614" w:rsidRDefault="007B3A6E" w:rsidP="007B3A6E">
      <w:pPr>
        <w:jc w:val="both"/>
      </w:pPr>
      <w:r w:rsidRPr="002E267C">
        <w:t>National data is provided to all partnerships, by Public Health Scotland.  This data shows rolling</w:t>
      </w:r>
      <w:r w:rsidRPr="002E267C">
        <w:rPr>
          <w:rStyle w:val="FootnoteReference"/>
        </w:rPr>
        <w:footnoteReference w:id="2"/>
      </w:r>
      <w:r w:rsidRPr="002E267C">
        <w:rPr>
          <w:vertAlign w:val="superscript"/>
        </w:rPr>
        <w:t xml:space="preserve"> </w:t>
      </w:r>
      <w:r w:rsidRPr="002E267C">
        <w:t xml:space="preserve">monthly performance for emergency admissions, emergency admissions from accident and emergency, accident and emergency attendances, emergency bed days and delayed discharges.  Previously </w:t>
      </w:r>
      <w:r>
        <w:t>Public Health Scotland</w:t>
      </w:r>
      <w:r w:rsidRPr="002E267C">
        <w:t xml:space="preserve"> were only able to provide data for all ages, however following feedback from Dundee and other Partnerships they have now provided data for people age 18+. </w:t>
      </w:r>
    </w:p>
    <w:p w14:paraId="770C5C15" w14:textId="77777777" w:rsidR="007B3A6E" w:rsidRPr="00C05614" w:rsidRDefault="007B3A6E" w:rsidP="007B3A6E">
      <w:pPr>
        <w:ind w:left="709" w:hanging="709"/>
        <w:jc w:val="both"/>
      </w:pPr>
    </w:p>
    <w:p w14:paraId="30359461" w14:textId="5B760E76" w:rsidR="007B3A6E" w:rsidRPr="00C05614" w:rsidRDefault="007B3A6E" w:rsidP="007B3A6E">
      <w:pPr>
        <w:jc w:val="both"/>
      </w:pPr>
      <w:r w:rsidRPr="002E267C">
        <w:t xml:space="preserve">It was agreed </w:t>
      </w:r>
      <w:r w:rsidRPr="002E267C">
        <w:rPr>
          <w:rFonts w:cs="Arial"/>
        </w:rPr>
        <w:t>at the PAC held on 19 July 2017 (Article VIII of the minute of the meeting refers) that local data, provided by the NHS Tayside</w:t>
      </w:r>
      <w:r w:rsidRPr="002E267C">
        <w:t xml:space="preserve"> Business Unit will be used to produce more timeous quarterly performance reports against the National Health and Wellbeing Indicators.  NHS Tayside Business Unit has provided data for emergency admissions, emergency bed days, readmissions, delayed discharges and falls.  From quarter 1 2020</w:t>
      </w:r>
      <w:r>
        <w:t>/</w:t>
      </w:r>
      <w:r w:rsidRPr="002E267C">
        <w:t xml:space="preserve">21 the NHS Tayside Business Unit has been </w:t>
      </w:r>
      <w:r w:rsidR="00B53EED" w:rsidRPr="002E267C">
        <w:t>providing breakdowns</w:t>
      </w:r>
      <w:r w:rsidRPr="002E267C">
        <w:t xml:space="preserve"> of covid and </w:t>
      </w:r>
      <w:proofErr w:type="spellStart"/>
      <w:r w:rsidRPr="002E267C">
        <w:t>non covid</w:t>
      </w:r>
      <w:proofErr w:type="spellEnd"/>
      <w:r w:rsidRPr="002E267C">
        <w:t xml:space="preserve"> admission reasons for emergency </w:t>
      </w:r>
      <w:r w:rsidR="00B53EED" w:rsidRPr="002E267C">
        <w:t xml:space="preserve">admissions </w:t>
      </w:r>
      <w:r w:rsidR="00B53EED">
        <w:t>and</w:t>
      </w:r>
      <w:r>
        <w:t xml:space="preserve"> </w:t>
      </w:r>
      <w:r w:rsidRPr="002E267C">
        <w:t>emergency bed days</w:t>
      </w:r>
      <w:r w:rsidR="00081211">
        <w:t>.</w:t>
      </w:r>
    </w:p>
    <w:p w14:paraId="128A25BB" w14:textId="77777777" w:rsidR="007B3A6E" w:rsidRPr="00C05614" w:rsidRDefault="007B3A6E" w:rsidP="007B3A6E">
      <w:pPr>
        <w:jc w:val="both"/>
      </w:pPr>
    </w:p>
    <w:p w14:paraId="58D63E44" w14:textId="77777777" w:rsidR="007B3A6E" w:rsidRPr="00C05614" w:rsidRDefault="007B3A6E" w:rsidP="007B3A6E">
      <w:pPr>
        <w:jc w:val="both"/>
        <w:rPr>
          <w:iCs/>
        </w:rPr>
      </w:pPr>
      <w:r w:rsidRPr="002E267C">
        <w:t xml:space="preserve">Data provided by NHS Tayside differs from data provided by </w:t>
      </w:r>
      <w:r>
        <w:t>Public Health Scotland (PHS)</w:t>
      </w:r>
      <w:r w:rsidRPr="002E267C">
        <w:t xml:space="preserve">; the main differences being that NHS Tayside uses ‘board of treatment’ and </w:t>
      </w:r>
      <w:r>
        <w:t>PHS</w:t>
      </w:r>
      <w:r w:rsidRPr="002E267C">
        <w:t xml:space="preserve"> uses ‘board of residence’ and NHS Tayside uses an </w:t>
      </w:r>
      <w:proofErr w:type="gramStart"/>
      <w:r w:rsidRPr="002E267C">
        <w:t>admissions based</w:t>
      </w:r>
      <w:proofErr w:type="gramEnd"/>
      <w:r w:rsidRPr="002E267C">
        <w:t xml:space="preserve"> dataset whereas </w:t>
      </w:r>
      <w:r>
        <w:t>PHS</w:t>
      </w:r>
      <w:r w:rsidRPr="002E267C">
        <w:t xml:space="preserve"> uses a </w:t>
      </w:r>
      <w:proofErr w:type="gramStart"/>
      <w:r w:rsidRPr="002E267C">
        <w:t>discharge based</w:t>
      </w:r>
      <w:proofErr w:type="gramEnd"/>
      <w:r w:rsidRPr="002E267C">
        <w:t xml:space="preserve"> dataset (NHS Tayside records are more complete but less accurate as </w:t>
      </w:r>
      <w:r>
        <w:t>PHS</w:t>
      </w:r>
      <w:r w:rsidRPr="002E267C">
        <w:t xml:space="preserve"> data goes through a validation process).  As </w:t>
      </w:r>
      <w:r>
        <w:t>PHS</w:t>
      </w:r>
      <w:r w:rsidRPr="002E267C">
        <w:t xml:space="preserve"> data is discharge based, numbers for one quarter will have been updated the following quarter as records get submitted for those admitted one quarter and discharged a subsequent quarter.  By the time </w:t>
      </w:r>
      <w:r>
        <w:t>PHS</w:t>
      </w:r>
      <w:r w:rsidRPr="002E267C">
        <w:t xml:space="preserve"> release their data, records are (in most cases) 99% complete.  </w:t>
      </w:r>
      <w:r w:rsidRPr="002E267C">
        <w:rPr>
          <w:iCs/>
        </w:rPr>
        <w:t>The data provided by NHS Tayside Business Unit is provisional and figures should be treated with caution.</w:t>
      </w:r>
    </w:p>
    <w:bookmarkEnd w:id="1"/>
    <w:bookmarkEnd w:id="2"/>
    <w:p w14:paraId="2E1F8D8C" w14:textId="77777777" w:rsidR="007B3A6E" w:rsidRPr="002E267C" w:rsidRDefault="007B3A6E" w:rsidP="000072A4">
      <w:pPr>
        <w:jc w:val="both"/>
        <w:rPr>
          <w:rFonts w:cs="Arial"/>
          <w:b/>
          <w:sz w:val="22"/>
          <w:szCs w:val="22"/>
        </w:rPr>
      </w:pPr>
    </w:p>
    <w:sectPr w:rsidR="007B3A6E" w:rsidRPr="002E267C" w:rsidSect="00A011FE">
      <w:footerReference w:type="first" r:id="rId53"/>
      <w:pgSz w:w="11907" w:h="16840" w:code="9"/>
      <w:pgMar w:top="1440" w:right="1440" w:bottom="1440" w:left="1134" w:header="720" w:footer="340" w:gutter="0"/>
      <w:paperSrc w:first="260" w:other="26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5556B" w14:textId="77777777" w:rsidR="00CB7A80" w:rsidRDefault="00CB7A80">
      <w:r>
        <w:separator/>
      </w:r>
    </w:p>
  </w:endnote>
  <w:endnote w:type="continuationSeparator" w:id="0">
    <w:p w14:paraId="12035A9E" w14:textId="77777777" w:rsidR="00CB7A80" w:rsidRDefault="00CB7A80">
      <w:r>
        <w:continuationSeparator/>
      </w:r>
    </w:p>
  </w:endnote>
  <w:endnote w:type="continuationNotice" w:id="1">
    <w:p w14:paraId="230C1DCA" w14:textId="77777777" w:rsidR="00CB7A80" w:rsidRDefault="00CB7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ELSNP I+ Meta Plus Normal">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00CF6751" w14:paraId="630837F0" w14:textId="77777777" w:rsidTr="0B1229E8">
      <w:tc>
        <w:tcPr>
          <w:tcW w:w="3110" w:type="dxa"/>
        </w:tcPr>
        <w:p w14:paraId="527B1AEE" w14:textId="6ABC4FB7" w:rsidR="00CF6751" w:rsidRDefault="00CF6751" w:rsidP="0B1229E8">
          <w:pPr>
            <w:pStyle w:val="Header"/>
            <w:ind w:left="-115"/>
          </w:pPr>
        </w:p>
      </w:tc>
      <w:tc>
        <w:tcPr>
          <w:tcW w:w="3110" w:type="dxa"/>
        </w:tcPr>
        <w:p w14:paraId="49B6594B" w14:textId="3A3D05EB" w:rsidR="00CF6751" w:rsidRDefault="00CF6751" w:rsidP="0B1229E8">
          <w:pPr>
            <w:pStyle w:val="Header"/>
            <w:jc w:val="center"/>
          </w:pPr>
        </w:p>
      </w:tc>
      <w:tc>
        <w:tcPr>
          <w:tcW w:w="3110" w:type="dxa"/>
        </w:tcPr>
        <w:p w14:paraId="60E58CC2" w14:textId="41D99036" w:rsidR="00CF6751" w:rsidRDefault="00CF6751" w:rsidP="0B1229E8">
          <w:pPr>
            <w:pStyle w:val="Header"/>
            <w:ind w:right="-115"/>
            <w:jc w:val="right"/>
          </w:pPr>
        </w:p>
      </w:tc>
    </w:tr>
  </w:tbl>
  <w:p w14:paraId="4454B8FE" w14:textId="0CD75E65" w:rsidR="00CF6751" w:rsidRDefault="00CF6751" w:rsidP="0B122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0CF6751" w14:paraId="47443FBB" w14:textId="77777777" w:rsidTr="0B1229E8">
      <w:tc>
        <w:tcPr>
          <w:tcW w:w="4650" w:type="dxa"/>
        </w:tcPr>
        <w:p w14:paraId="3AB440D8" w14:textId="43CED47C" w:rsidR="00CF6751" w:rsidRDefault="00CF6751" w:rsidP="0B1229E8">
          <w:pPr>
            <w:pStyle w:val="Header"/>
            <w:ind w:left="-115"/>
          </w:pPr>
        </w:p>
      </w:tc>
      <w:tc>
        <w:tcPr>
          <w:tcW w:w="4650" w:type="dxa"/>
        </w:tcPr>
        <w:p w14:paraId="1DA857CD" w14:textId="1A1EE27F" w:rsidR="00CF6751" w:rsidRDefault="00CF6751" w:rsidP="0B1229E8">
          <w:pPr>
            <w:pStyle w:val="Header"/>
            <w:jc w:val="center"/>
          </w:pPr>
        </w:p>
      </w:tc>
      <w:tc>
        <w:tcPr>
          <w:tcW w:w="4650" w:type="dxa"/>
        </w:tcPr>
        <w:p w14:paraId="1C761F86" w14:textId="795A8243" w:rsidR="00CF6751" w:rsidRDefault="00CF6751" w:rsidP="0B1229E8">
          <w:pPr>
            <w:pStyle w:val="Header"/>
            <w:ind w:right="-115"/>
            <w:jc w:val="right"/>
          </w:pPr>
        </w:p>
      </w:tc>
    </w:tr>
  </w:tbl>
  <w:p w14:paraId="2CB157DB" w14:textId="1BD47A20" w:rsidR="00CF6751" w:rsidRDefault="00CF6751" w:rsidP="0B1229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00CF6751" w14:paraId="791A8169" w14:textId="77777777" w:rsidTr="0B1229E8">
      <w:tc>
        <w:tcPr>
          <w:tcW w:w="3110" w:type="dxa"/>
        </w:tcPr>
        <w:p w14:paraId="33F55D39" w14:textId="419A0E17" w:rsidR="00CF6751" w:rsidRDefault="00CF6751" w:rsidP="0B1229E8">
          <w:pPr>
            <w:pStyle w:val="Header"/>
            <w:ind w:left="-115"/>
          </w:pPr>
        </w:p>
      </w:tc>
      <w:tc>
        <w:tcPr>
          <w:tcW w:w="3110" w:type="dxa"/>
        </w:tcPr>
        <w:p w14:paraId="774A6A46" w14:textId="14442FEE" w:rsidR="00CF6751" w:rsidRDefault="00CF6751" w:rsidP="0B1229E8">
          <w:pPr>
            <w:pStyle w:val="Header"/>
            <w:jc w:val="center"/>
          </w:pPr>
        </w:p>
      </w:tc>
      <w:tc>
        <w:tcPr>
          <w:tcW w:w="3110" w:type="dxa"/>
        </w:tcPr>
        <w:p w14:paraId="2E306588" w14:textId="3D3488DB" w:rsidR="00CF6751" w:rsidRDefault="00CF6751" w:rsidP="0B1229E8">
          <w:pPr>
            <w:pStyle w:val="Header"/>
            <w:ind w:right="-115"/>
            <w:jc w:val="right"/>
          </w:pPr>
        </w:p>
      </w:tc>
    </w:tr>
  </w:tbl>
  <w:p w14:paraId="2737CA39" w14:textId="0388CA46" w:rsidR="00CF6751" w:rsidRDefault="00CF6751" w:rsidP="0B122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D8030" w14:textId="77777777" w:rsidR="00CB7A80" w:rsidRDefault="00CB7A80">
      <w:r>
        <w:separator/>
      </w:r>
    </w:p>
  </w:footnote>
  <w:footnote w:type="continuationSeparator" w:id="0">
    <w:p w14:paraId="177736CC" w14:textId="77777777" w:rsidR="00CB7A80" w:rsidRDefault="00CB7A80">
      <w:r>
        <w:continuationSeparator/>
      </w:r>
    </w:p>
  </w:footnote>
  <w:footnote w:type="continuationNotice" w:id="1">
    <w:p w14:paraId="1F1DC857" w14:textId="77777777" w:rsidR="00CB7A80" w:rsidRDefault="00CB7A80"/>
  </w:footnote>
  <w:footnote w:id="2">
    <w:p w14:paraId="2533EF58" w14:textId="0797E449" w:rsidR="00CF6751" w:rsidRDefault="00CF6751" w:rsidP="007B3A6E">
      <w:pPr>
        <w:pStyle w:val="FootnoteText"/>
      </w:pPr>
      <w:r w:rsidRPr="002E267C">
        <w:rPr>
          <w:rStyle w:val="FootnoteReference"/>
        </w:rPr>
        <w:footnoteRef/>
      </w:r>
      <w:r w:rsidRPr="002E267C">
        <w:t xml:space="preserve"> </w:t>
      </w:r>
      <w:r>
        <w:t xml:space="preserve">For Q4 </w:t>
      </w:r>
      <w:r w:rsidRPr="006F4EFD">
        <w:t xml:space="preserve">the data is for the full financial year </w:t>
      </w:r>
      <w:r>
        <w:t xml:space="preserve">1 </w:t>
      </w:r>
      <w:r w:rsidRPr="006F4EFD">
        <w:t xml:space="preserve">April 2023 to </w:t>
      </w:r>
      <w:r>
        <w:t xml:space="preserve">31 </w:t>
      </w:r>
      <w:r w:rsidRPr="006F4EFD">
        <w:t xml:space="preserve">March 2024.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76720"/>
    <w:multiLevelType w:val="hybridMultilevel"/>
    <w:tmpl w:val="1446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71EC6"/>
    <w:multiLevelType w:val="hybridMultilevel"/>
    <w:tmpl w:val="34201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4011F4E"/>
    <w:multiLevelType w:val="hybridMultilevel"/>
    <w:tmpl w:val="04FC990E"/>
    <w:lvl w:ilvl="0" w:tplc="D85E1D44">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C461BA"/>
    <w:multiLevelType w:val="hybridMultilevel"/>
    <w:tmpl w:val="CA1E60F0"/>
    <w:lvl w:ilvl="0" w:tplc="D59A241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E328CF"/>
    <w:multiLevelType w:val="hybridMultilevel"/>
    <w:tmpl w:val="CABC2410"/>
    <w:lvl w:ilvl="0" w:tplc="DBB42CF8">
      <w:start w:val="1"/>
      <w:numFmt w:val="bullet"/>
      <w:pStyle w:val="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350882">
    <w:abstractNumId w:val="4"/>
  </w:num>
  <w:num w:numId="2" w16cid:durableId="1838425248">
    <w:abstractNumId w:val="1"/>
  </w:num>
  <w:num w:numId="3" w16cid:durableId="2053647210">
    <w:abstractNumId w:val="2"/>
  </w:num>
  <w:num w:numId="4" w16cid:durableId="1389452901">
    <w:abstractNumId w:val="0"/>
  </w:num>
  <w:num w:numId="5" w16cid:durableId="111393750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0C"/>
    <w:rsid w:val="00000DBB"/>
    <w:rsid w:val="00001DB3"/>
    <w:rsid w:val="00001E88"/>
    <w:rsid w:val="00004276"/>
    <w:rsid w:val="000044E6"/>
    <w:rsid w:val="000045BF"/>
    <w:rsid w:val="000045EA"/>
    <w:rsid w:val="00004A00"/>
    <w:rsid w:val="00005345"/>
    <w:rsid w:val="000065CE"/>
    <w:rsid w:val="000069A2"/>
    <w:rsid w:val="000072A4"/>
    <w:rsid w:val="00007764"/>
    <w:rsid w:val="0001012F"/>
    <w:rsid w:val="00010F80"/>
    <w:rsid w:val="00011D7E"/>
    <w:rsid w:val="00011FBE"/>
    <w:rsid w:val="000132D8"/>
    <w:rsid w:val="00015800"/>
    <w:rsid w:val="00015C92"/>
    <w:rsid w:val="00016586"/>
    <w:rsid w:val="00016869"/>
    <w:rsid w:val="00020DA0"/>
    <w:rsid w:val="0002121C"/>
    <w:rsid w:val="0002157F"/>
    <w:rsid w:val="00022EF2"/>
    <w:rsid w:val="00023167"/>
    <w:rsid w:val="000241A7"/>
    <w:rsid w:val="00024336"/>
    <w:rsid w:val="0002621D"/>
    <w:rsid w:val="000264F1"/>
    <w:rsid w:val="00026F41"/>
    <w:rsid w:val="000272C7"/>
    <w:rsid w:val="00027D19"/>
    <w:rsid w:val="00031A9A"/>
    <w:rsid w:val="0003471B"/>
    <w:rsid w:val="00034F9F"/>
    <w:rsid w:val="000401E8"/>
    <w:rsid w:val="00041170"/>
    <w:rsid w:val="00041591"/>
    <w:rsid w:val="00041662"/>
    <w:rsid w:val="00042189"/>
    <w:rsid w:val="000421DF"/>
    <w:rsid w:val="00042722"/>
    <w:rsid w:val="0004275C"/>
    <w:rsid w:val="00042D4D"/>
    <w:rsid w:val="00043937"/>
    <w:rsid w:val="00044D9B"/>
    <w:rsid w:val="00044E55"/>
    <w:rsid w:val="00044EE8"/>
    <w:rsid w:val="00044FF9"/>
    <w:rsid w:val="00045477"/>
    <w:rsid w:val="00046C8E"/>
    <w:rsid w:val="00046F0A"/>
    <w:rsid w:val="000471BA"/>
    <w:rsid w:val="00047473"/>
    <w:rsid w:val="00050597"/>
    <w:rsid w:val="00050CC7"/>
    <w:rsid w:val="000515A0"/>
    <w:rsid w:val="00051998"/>
    <w:rsid w:val="00052E95"/>
    <w:rsid w:val="00053763"/>
    <w:rsid w:val="000538CF"/>
    <w:rsid w:val="000543D8"/>
    <w:rsid w:val="000550A9"/>
    <w:rsid w:val="00056468"/>
    <w:rsid w:val="00056E2A"/>
    <w:rsid w:val="000573E4"/>
    <w:rsid w:val="0005792E"/>
    <w:rsid w:val="00060032"/>
    <w:rsid w:val="000600E4"/>
    <w:rsid w:val="00060A80"/>
    <w:rsid w:val="0006135E"/>
    <w:rsid w:val="00061834"/>
    <w:rsid w:val="00061D54"/>
    <w:rsid w:val="00062CDB"/>
    <w:rsid w:val="00063B5E"/>
    <w:rsid w:val="00064867"/>
    <w:rsid w:val="00065CFA"/>
    <w:rsid w:val="00065D88"/>
    <w:rsid w:val="000705DB"/>
    <w:rsid w:val="00070F06"/>
    <w:rsid w:val="00071D10"/>
    <w:rsid w:val="0007256C"/>
    <w:rsid w:val="000753F9"/>
    <w:rsid w:val="0007554A"/>
    <w:rsid w:val="0007615D"/>
    <w:rsid w:val="00076315"/>
    <w:rsid w:val="000764F0"/>
    <w:rsid w:val="00076639"/>
    <w:rsid w:val="00077C98"/>
    <w:rsid w:val="00080BE9"/>
    <w:rsid w:val="00080EE5"/>
    <w:rsid w:val="00080F34"/>
    <w:rsid w:val="00081211"/>
    <w:rsid w:val="00081678"/>
    <w:rsid w:val="000817B7"/>
    <w:rsid w:val="00081BB1"/>
    <w:rsid w:val="00082033"/>
    <w:rsid w:val="00082A7C"/>
    <w:rsid w:val="000832B8"/>
    <w:rsid w:val="00083335"/>
    <w:rsid w:val="0008393A"/>
    <w:rsid w:val="00083C80"/>
    <w:rsid w:val="00083DDE"/>
    <w:rsid w:val="00084343"/>
    <w:rsid w:val="00084CEA"/>
    <w:rsid w:val="00084D09"/>
    <w:rsid w:val="00084DF9"/>
    <w:rsid w:val="00085124"/>
    <w:rsid w:val="00085203"/>
    <w:rsid w:val="00086B04"/>
    <w:rsid w:val="00087AA6"/>
    <w:rsid w:val="00090496"/>
    <w:rsid w:val="000904D0"/>
    <w:rsid w:val="0009215F"/>
    <w:rsid w:val="00092C7C"/>
    <w:rsid w:val="00092DA7"/>
    <w:rsid w:val="000944B0"/>
    <w:rsid w:val="0009556B"/>
    <w:rsid w:val="000971A1"/>
    <w:rsid w:val="00097526"/>
    <w:rsid w:val="000A0314"/>
    <w:rsid w:val="000A03DD"/>
    <w:rsid w:val="000A0CC1"/>
    <w:rsid w:val="000A198C"/>
    <w:rsid w:val="000A1BEC"/>
    <w:rsid w:val="000A1EF8"/>
    <w:rsid w:val="000A3970"/>
    <w:rsid w:val="000A4C87"/>
    <w:rsid w:val="000A4DF5"/>
    <w:rsid w:val="000A6B8A"/>
    <w:rsid w:val="000A7FE6"/>
    <w:rsid w:val="000B1682"/>
    <w:rsid w:val="000B1EF7"/>
    <w:rsid w:val="000B2248"/>
    <w:rsid w:val="000B41BE"/>
    <w:rsid w:val="000B453C"/>
    <w:rsid w:val="000B47C2"/>
    <w:rsid w:val="000B47EC"/>
    <w:rsid w:val="000B50C8"/>
    <w:rsid w:val="000B5190"/>
    <w:rsid w:val="000B53CF"/>
    <w:rsid w:val="000B65C1"/>
    <w:rsid w:val="000B6637"/>
    <w:rsid w:val="000B6A5C"/>
    <w:rsid w:val="000C06AE"/>
    <w:rsid w:val="000C0B32"/>
    <w:rsid w:val="000C0B33"/>
    <w:rsid w:val="000C0BC9"/>
    <w:rsid w:val="000C0E05"/>
    <w:rsid w:val="000C2CB6"/>
    <w:rsid w:val="000C2F6F"/>
    <w:rsid w:val="000C4520"/>
    <w:rsid w:val="000C45D0"/>
    <w:rsid w:val="000C45DC"/>
    <w:rsid w:val="000C6DBB"/>
    <w:rsid w:val="000C7EE3"/>
    <w:rsid w:val="000D17A3"/>
    <w:rsid w:val="000D1D40"/>
    <w:rsid w:val="000D1E0D"/>
    <w:rsid w:val="000D219B"/>
    <w:rsid w:val="000D272B"/>
    <w:rsid w:val="000D3187"/>
    <w:rsid w:val="000D4618"/>
    <w:rsid w:val="000D5C69"/>
    <w:rsid w:val="000E07E7"/>
    <w:rsid w:val="000E1121"/>
    <w:rsid w:val="000E15AD"/>
    <w:rsid w:val="000E206A"/>
    <w:rsid w:val="000E2F9A"/>
    <w:rsid w:val="000E41DE"/>
    <w:rsid w:val="000E519B"/>
    <w:rsid w:val="000E6FDE"/>
    <w:rsid w:val="000E79DD"/>
    <w:rsid w:val="000E7A0F"/>
    <w:rsid w:val="000F08A1"/>
    <w:rsid w:val="000F1067"/>
    <w:rsid w:val="000F1127"/>
    <w:rsid w:val="000F13CD"/>
    <w:rsid w:val="000F1B22"/>
    <w:rsid w:val="000F202D"/>
    <w:rsid w:val="000F2DE5"/>
    <w:rsid w:val="000F33DB"/>
    <w:rsid w:val="000F365B"/>
    <w:rsid w:val="000F7059"/>
    <w:rsid w:val="000F7E78"/>
    <w:rsid w:val="00100803"/>
    <w:rsid w:val="001009C2"/>
    <w:rsid w:val="00100FE2"/>
    <w:rsid w:val="001012D3"/>
    <w:rsid w:val="00101FBB"/>
    <w:rsid w:val="00102698"/>
    <w:rsid w:val="00102F67"/>
    <w:rsid w:val="00106B47"/>
    <w:rsid w:val="00107781"/>
    <w:rsid w:val="0011031F"/>
    <w:rsid w:val="00110E68"/>
    <w:rsid w:val="00111A6C"/>
    <w:rsid w:val="00112443"/>
    <w:rsid w:val="001130D5"/>
    <w:rsid w:val="00114DDF"/>
    <w:rsid w:val="00115950"/>
    <w:rsid w:val="00115FAA"/>
    <w:rsid w:val="001175B8"/>
    <w:rsid w:val="001212B3"/>
    <w:rsid w:val="00121608"/>
    <w:rsid w:val="00121BB5"/>
    <w:rsid w:val="00121C03"/>
    <w:rsid w:val="00122ADA"/>
    <w:rsid w:val="00124248"/>
    <w:rsid w:val="00124FDA"/>
    <w:rsid w:val="00125124"/>
    <w:rsid w:val="00125A97"/>
    <w:rsid w:val="0013300A"/>
    <w:rsid w:val="0013306C"/>
    <w:rsid w:val="00136CD8"/>
    <w:rsid w:val="001411DB"/>
    <w:rsid w:val="001415B7"/>
    <w:rsid w:val="00143912"/>
    <w:rsid w:val="00144447"/>
    <w:rsid w:val="00144599"/>
    <w:rsid w:val="001453F6"/>
    <w:rsid w:val="00145AA2"/>
    <w:rsid w:val="001465AA"/>
    <w:rsid w:val="0015088C"/>
    <w:rsid w:val="0015237C"/>
    <w:rsid w:val="00152562"/>
    <w:rsid w:val="001538E5"/>
    <w:rsid w:val="00154881"/>
    <w:rsid w:val="00154B84"/>
    <w:rsid w:val="00154C57"/>
    <w:rsid w:val="001561DE"/>
    <w:rsid w:val="00156397"/>
    <w:rsid w:val="0015653A"/>
    <w:rsid w:val="0015708F"/>
    <w:rsid w:val="001574A1"/>
    <w:rsid w:val="00157745"/>
    <w:rsid w:val="001612E1"/>
    <w:rsid w:val="001623D5"/>
    <w:rsid w:val="00162D61"/>
    <w:rsid w:val="00163AC4"/>
    <w:rsid w:val="00164786"/>
    <w:rsid w:val="00165250"/>
    <w:rsid w:val="00165E35"/>
    <w:rsid w:val="001668D5"/>
    <w:rsid w:val="00167674"/>
    <w:rsid w:val="00174BDA"/>
    <w:rsid w:val="00175CE4"/>
    <w:rsid w:val="00175EBC"/>
    <w:rsid w:val="00175FEC"/>
    <w:rsid w:val="00177F08"/>
    <w:rsid w:val="00180C93"/>
    <w:rsid w:val="001815A0"/>
    <w:rsid w:val="00181C86"/>
    <w:rsid w:val="00181F6D"/>
    <w:rsid w:val="0018274B"/>
    <w:rsid w:val="0018276F"/>
    <w:rsid w:val="00182DDC"/>
    <w:rsid w:val="001833C2"/>
    <w:rsid w:val="00183A26"/>
    <w:rsid w:val="00183BEA"/>
    <w:rsid w:val="00185B76"/>
    <w:rsid w:val="0018730E"/>
    <w:rsid w:val="00187B62"/>
    <w:rsid w:val="001903F1"/>
    <w:rsid w:val="00191478"/>
    <w:rsid w:val="0019205C"/>
    <w:rsid w:val="001921A4"/>
    <w:rsid w:val="00192495"/>
    <w:rsid w:val="00192C4A"/>
    <w:rsid w:val="0019346A"/>
    <w:rsid w:val="001942C8"/>
    <w:rsid w:val="00195468"/>
    <w:rsid w:val="001956A6"/>
    <w:rsid w:val="00196F76"/>
    <w:rsid w:val="001A0E69"/>
    <w:rsid w:val="001A14BC"/>
    <w:rsid w:val="001A19A3"/>
    <w:rsid w:val="001A2829"/>
    <w:rsid w:val="001A2B6F"/>
    <w:rsid w:val="001A2CF0"/>
    <w:rsid w:val="001A38AF"/>
    <w:rsid w:val="001A3A3E"/>
    <w:rsid w:val="001A47DE"/>
    <w:rsid w:val="001A5187"/>
    <w:rsid w:val="001A7366"/>
    <w:rsid w:val="001A7460"/>
    <w:rsid w:val="001B06CE"/>
    <w:rsid w:val="001B167E"/>
    <w:rsid w:val="001B21AB"/>
    <w:rsid w:val="001B3483"/>
    <w:rsid w:val="001B3604"/>
    <w:rsid w:val="001B3BA4"/>
    <w:rsid w:val="001B3DAC"/>
    <w:rsid w:val="001B4113"/>
    <w:rsid w:val="001B4DDA"/>
    <w:rsid w:val="001B5AFA"/>
    <w:rsid w:val="001B6205"/>
    <w:rsid w:val="001B623B"/>
    <w:rsid w:val="001B69AD"/>
    <w:rsid w:val="001B6A0E"/>
    <w:rsid w:val="001B6AE0"/>
    <w:rsid w:val="001B6E1D"/>
    <w:rsid w:val="001B7566"/>
    <w:rsid w:val="001C0121"/>
    <w:rsid w:val="001C0DEA"/>
    <w:rsid w:val="001C1C31"/>
    <w:rsid w:val="001C2469"/>
    <w:rsid w:val="001C24E0"/>
    <w:rsid w:val="001C2791"/>
    <w:rsid w:val="001C48BE"/>
    <w:rsid w:val="001C5971"/>
    <w:rsid w:val="001C62AF"/>
    <w:rsid w:val="001C6CEB"/>
    <w:rsid w:val="001C7144"/>
    <w:rsid w:val="001C7435"/>
    <w:rsid w:val="001C7FE8"/>
    <w:rsid w:val="001D0007"/>
    <w:rsid w:val="001D14BF"/>
    <w:rsid w:val="001D3A4F"/>
    <w:rsid w:val="001D425D"/>
    <w:rsid w:val="001D42E9"/>
    <w:rsid w:val="001D6DA0"/>
    <w:rsid w:val="001E0640"/>
    <w:rsid w:val="001E2380"/>
    <w:rsid w:val="001E23B4"/>
    <w:rsid w:val="001E4031"/>
    <w:rsid w:val="001E4283"/>
    <w:rsid w:val="001E4A37"/>
    <w:rsid w:val="001E5162"/>
    <w:rsid w:val="001E6B33"/>
    <w:rsid w:val="001E6BC7"/>
    <w:rsid w:val="001E6F65"/>
    <w:rsid w:val="001E7037"/>
    <w:rsid w:val="001E7106"/>
    <w:rsid w:val="001E7703"/>
    <w:rsid w:val="001F06AD"/>
    <w:rsid w:val="001F1DD8"/>
    <w:rsid w:val="001F260C"/>
    <w:rsid w:val="001F34E8"/>
    <w:rsid w:val="001F3B10"/>
    <w:rsid w:val="001F41DD"/>
    <w:rsid w:val="001F453D"/>
    <w:rsid w:val="001F46B8"/>
    <w:rsid w:val="001F4EE7"/>
    <w:rsid w:val="001F656E"/>
    <w:rsid w:val="001F6F39"/>
    <w:rsid w:val="001F7343"/>
    <w:rsid w:val="001F7496"/>
    <w:rsid w:val="001F77E6"/>
    <w:rsid w:val="00201727"/>
    <w:rsid w:val="0020225C"/>
    <w:rsid w:val="00203567"/>
    <w:rsid w:val="002037A8"/>
    <w:rsid w:val="00204A19"/>
    <w:rsid w:val="002062CB"/>
    <w:rsid w:val="002063FC"/>
    <w:rsid w:val="00207807"/>
    <w:rsid w:val="0021021A"/>
    <w:rsid w:val="00210D10"/>
    <w:rsid w:val="0021100C"/>
    <w:rsid w:val="00211222"/>
    <w:rsid w:val="00211701"/>
    <w:rsid w:val="0021281B"/>
    <w:rsid w:val="00214F20"/>
    <w:rsid w:val="002166E6"/>
    <w:rsid w:val="00216973"/>
    <w:rsid w:val="00216DD6"/>
    <w:rsid w:val="00220ADA"/>
    <w:rsid w:val="002228CF"/>
    <w:rsid w:val="00222BD0"/>
    <w:rsid w:val="0022345A"/>
    <w:rsid w:val="002241FC"/>
    <w:rsid w:val="002243AC"/>
    <w:rsid w:val="002246D8"/>
    <w:rsid w:val="00224F6A"/>
    <w:rsid w:val="0022541C"/>
    <w:rsid w:val="00225992"/>
    <w:rsid w:val="0022698A"/>
    <w:rsid w:val="002269CD"/>
    <w:rsid w:val="00226BB6"/>
    <w:rsid w:val="002301A2"/>
    <w:rsid w:val="002305CC"/>
    <w:rsid w:val="00231C6B"/>
    <w:rsid w:val="0023320D"/>
    <w:rsid w:val="002335AF"/>
    <w:rsid w:val="0023535C"/>
    <w:rsid w:val="002359C0"/>
    <w:rsid w:val="00235C26"/>
    <w:rsid w:val="00236E75"/>
    <w:rsid w:val="0023703A"/>
    <w:rsid w:val="002370D2"/>
    <w:rsid w:val="002416DF"/>
    <w:rsid w:val="00241B1E"/>
    <w:rsid w:val="002427AE"/>
    <w:rsid w:val="00242E68"/>
    <w:rsid w:val="00243166"/>
    <w:rsid w:val="0024526D"/>
    <w:rsid w:val="00245DB3"/>
    <w:rsid w:val="00246E26"/>
    <w:rsid w:val="0025029D"/>
    <w:rsid w:val="00250EB3"/>
    <w:rsid w:val="0025189C"/>
    <w:rsid w:val="00252507"/>
    <w:rsid w:val="00253075"/>
    <w:rsid w:val="00253245"/>
    <w:rsid w:val="00253421"/>
    <w:rsid w:val="00254238"/>
    <w:rsid w:val="002542EA"/>
    <w:rsid w:val="002545CD"/>
    <w:rsid w:val="002562BE"/>
    <w:rsid w:val="002564B5"/>
    <w:rsid w:val="00256716"/>
    <w:rsid w:val="00257BD9"/>
    <w:rsid w:val="00260B6A"/>
    <w:rsid w:val="00260FA2"/>
    <w:rsid w:val="002623D3"/>
    <w:rsid w:val="002639C1"/>
    <w:rsid w:val="00264C88"/>
    <w:rsid w:val="00265A16"/>
    <w:rsid w:val="0026633E"/>
    <w:rsid w:val="0026754B"/>
    <w:rsid w:val="002676FE"/>
    <w:rsid w:val="00267ABB"/>
    <w:rsid w:val="002710BE"/>
    <w:rsid w:val="0027165D"/>
    <w:rsid w:val="00271D47"/>
    <w:rsid w:val="00274121"/>
    <w:rsid w:val="0027429D"/>
    <w:rsid w:val="00275265"/>
    <w:rsid w:val="0027550E"/>
    <w:rsid w:val="002756C5"/>
    <w:rsid w:val="00276825"/>
    <w:rsid w:val="0027732F"/>
    <w:rsid w:val="002774CE"/>
    <w:rsid w:val="002778E2"/>
    <w:rsid w:val="00277935"/>
    <w:rsid w:val="00282003"/>
    <w:rsid w:val="0028285B"/>
    <w:rsid w:val="00283162"/>
    <w:rsid w:val="00283598"/>
    <w:rsid w:val="00283662"/>
    <w:rsid w:val="00284EB4"/>
    <w:rsid w:val="00286228"/>
    <w:rsid w:val="0028623A"/>
    <w:rsid w:val="002866A8"/>
    <w:rsid w:val="00287D74"/>
    <w:rsid w:val="00290578"/>
    <w:rsid w:val="00290D7E"/>
    <w:rsid w:val="002911F3"/>
    <w:rsid w:val="00292B9F"/>
    <w:rsid w:val="0029322A"/>
    <w:rsid w:val="002934E5"/>
    <w:rsid w:val="002940A4"/>
    <w:rsid w:val="00294827"/>
    <w:rsid w:val="0029576B"/>
    <w:rsid w:val="00296132"/>
    <w:rsid w:val="00296AC7"/>
    <w:rsid w:val="00296B37"/>
    <w:rsid w:val="00297802"/>
    <w:rsid w:val="00297A7B"/>
    <w:rsid w:val="00297CBB"/>
    <w:rsid w:val="002A081F"/>
    <w:rsid w:val="002A1814"/>
    <w:rsid w:val="002A2334"/>
    <w:rsid w:val="002A4502"/>
    <w:rsid w:val="002A6D2A"/>
    <w:rsid w:val="002B0BCB"/>
    <w:rsid w:val="002B1E33"/>
    <w:rsid w:val="002B4A56"/>
    <w:rsid w:val="002B5994"/>
    <w:rsid w:val="002B5EEF"/>
    <w:rsid w:val="002B6544"/>
    <w:rsid w:val="002B7356"/>
    <w:rsid w:val="002C091A"/>
    <w:rsid w:val="002C0C1F"/>
    <w:rsid w:val="002C25E0"/>
    <w:rsid w:val="002C25EC"/>
    <w:rsid w:val="002C27B4"/>
    <w:rsid w:val="002C374B"/>
    <w:rsid w:val="002C4207"/>
    <w:rsid w:val="002C48CA"/>
    <w:rsid w:val="002C4C0B"/>
    <w:rsid w:val="002C4CAF"/>
    <w:rsid w:val="002C79EB"/>
    <w:rsid w:val="002C7A50"/>
    <w:rsid w:val="002D00C7"/>
    <w:rsid w:val="002D1A68"/>
    <w:rsid w:val="002D1AFC"/>
    <w:rsid w:val="002D24AF"/>
    <w:rsid w:val="002D297F"/>
    <w:rsid w:val="002D2D4F"/>
    <w:rsid w:val="002D5C12"/>
    <w:rsid w:val="002D6032"/>
    <w:rsid w:val="002D61D6"/>
    <w:rsid w:val="002D637F"/>
    <w:rsid w:val="002D65C9"/>
    <w:rsid w:val="002D6FC8"/>
    <w:rsid w:val="002E01C9"/>
    <w:rsid w:val="002E03B8"/>
    <w:rsid w:val="002E056C"/>
    <w:rsid w:val="002E069D"/>
    <w:rsid w:val="002E267C"/>
    <w:rsid w:val="002E281E"/>
    <w:rsid w:val="002E3386"/>
    <w:rsid w:val="002E4EA2"/>
    <w:rsid w:val="002E55B7"/>
    <w:rsid w:val="002E65D4"/>
    <w:rsid w:val="002E6A11"/>
    <w:rsid w:val="002F2596"/>
    <w:rsid w:val="002F2A62"/>
    <w:rsid w:val="002F4924"/>
    <w:rsid w:val="002F5773"/>
    <w:rsid w:val="002F6809"/>
    <w:rsid w:val="002F7D8F"/>
    <w:rsid w:val="00300501"/>
    <w:rsid w:val="00300DE8"/>
    <w:rsid w:val="00300DEF"/>
    <w:rsid w:val="00300E68"/>
    <w:rsid w:val="00300F60"/>
    <w:rsid w:val="00300F95"/>
    <w:rsid w:val="003011AE"/>
    <w:rsid w:val="003016A7"/>
    <w:rsid w:val="003023F4"/>
    <w:rsid w:val="00304471"/>
    <w:rsid w:val="00304A5D"/>
    <w:rsid w:val="00304C09"/>
    <w:rsid w:val="003052E3"/>
    <w:rsid w:val="00306041"/>
    <w:rsid w:val="003060F3"/>
    <w:rsid w:val="0030623B"/>
    <w:rsid w:val="0030752B"/>
    <w:rsid w:val="00311D20"/>
    <w:rsid w:val="00311D8F"/>
    <w:rsid w:val="0031267B"/>
    <w:rsid w:val="003127F7"/>
    <w:rsid w:val="00313000"/>
    <w:rsid w:val="00315E98"/>
    <w:rsid w:val="00316D35"/>
    <w:rsid w:val="00320A62"/>
    <w:rsid w:val="00321072"/>
    <w:rsid w:val="003214F3"/>
    <w:rsid w:val="003229B6"/>
    <w:rsid w:val="00323238"/>
    <w:rsid w:val="00323381"/>
    <w:rsid w:val="0032407C"/>
    <w:rsid w:val="00325A8E"/>
    <w:rsid w:val="00326157"/>
    <w:rsid w:val="0032664C"/>
    <w:rsid w:val="00326D27"/>
    <w:rsid w:val="00326F12"/>
    <w:rsid w:val="003273EC"/>
    <w:rsid w:val="003308B4"/>
    <w:rsid w:val="003334D9"/>
    <w:rsid w:val="0033425C"/>
    <w:rsid w:val="00335EB1"/>
    <w:rsid w:val="003405A2"/>
    <w:rsid w:val="00341540"/>
    <w:rsid w:val="003432F7"/>
    <w:rsid w:val="00344C79"/>
    <w:rsid w:val="0034519A"/>
    <w:rsid w:val="0034522E"/>
    <w:rsid w:val="00345300"/>
    <w:rsid w:val="00345502"/>
    <w:rsid w:val="00346374"/>
    <w:rsid w:val="00346782"/>
    <w:rsid w:val="00347332"/>
    <w:rsid w:val="00347472"/>
    <w:rsid w:val="003503D2"/>
    <w:rsid w:val="0035074E"/>
    <w:rsid w:val="00350E71"/>
    <w:rsid w:val="0035150E"/>
    <w:rsid w:val="00351E31"/>
    <w:rsid w:val="0035338D"/>
    <w:rsid w:val="00354F2F"/>
    <w:rsid w:val="00355244"/>
    <w:rsid w:val="003557BE"/>
    <w:rsid w:val="00355B1A"/>
    <w:rsid w:val="0035644A"/>
    <w:rsid w:val="00356C85"/>
    <w:rsid w:val="0035769E"/>
    <w:rsid w:val="00357CD4"/>
    <w:rsid w:val="00360E5F"/>
    <w:rsid w:val="003620E3"/>
    <w:rsid w:val="00362270"/>
    <w:rsid w:val="003624BC"/>
    <w:rsid w:val="00362E50"/>
    <w:rsid w:val="00363556"/>
    <w:rsid w:val="003638D9"/>
    <w:rsid w:val="00363DA0"/>
    <w:rsid w:val="0036492F"/>
    <w:rsid w:val="00364C78"/>
    <w:rsid w:val="00365E2A"/>
    <w:rsid w:val="0036689B"/>
    <w:rsid w:val="00366BA9"/>
    <w:rsid w:val="00367A45"/>
    <w:rsid w:val="00367E77"/>
    <w:rsid w:val="00370F82"/>
    <w:rsid w:val="00371A24"/>
    <w:rsid w:val="00373A0F"/>
    <w:rsid w:val="00374544"/>
    <w:rsid w:val="00374C80"/>
    <w:rsid w:val="00375701"/>
    <w:rsid w:val="00376AEB"/>
    <w:rsid w:val="00377A9A"/>
    <w:rsid w:val="00380ECB"/>
    <w:rsid w:val="0038188E"/>
    <w:rsid w:val="00382CF7"/>
    <w:rsid w:val="00383CD9"/>
    <w:rsid w:val="0038491D"/>
    <w:rsid w:val="003854D2"/>
    <w:rsid w:val="00386646"/>
    <w:rsid w:val="003871ED"/>
    <w:rsid w:val="00391101"/>
    <w:rsid w:val="0039125C"/>
    <w:rsid w:val="00391991"/>
    <w:rsid w:val="00391BD0"/>
    <w:rsid w:val="00392CFD"/>
    <w:rsid w:val="00393985"/>
    <w:rsid w:val="00394B83"/>
    <w:rsid w:val="003966D5"/>
    <w:rsid w:val="00396E4F"/>
    <w:rsid w:val="003A056F"/>
    <w:rsid w:val="003A0B3F"/>
    <w:rsid w:val="003A1531"/>
    <w:rsid w:val="003A3411"/>
    <w:rsid w:val="003A357A"/>
    <w:rsid w:val="003A38EF"/>
    <w:rsid w:val="003A39E0"/>
    <w:rsid w:val="003A3DDC"/>
    <w:rsid w:val="003A439D"/>
    <w:rsid w:val="003A48AF"/>
    <w:rsid w:val="003A5F29"/>
    <w:rsid w:val="003A6E66"/>
    <w:rsid w:val="003A736F"/>
    <w:rsid w:val="003B02FF"/>
    <w:rsid w:val="003B146C"/>
    <w:rsid w:val="003B1F63"/>
    <w:rsid w:val="003B2F8B"/>
    <w:rsid w:val="003B37F8"/>
    <w:rsid w:val="003B4523"/>
    <w:rsid w:val="003B596E"/>
    <w:rsid w:val="003B698C"/>
    <w:rsid w:val="003C08F1"/>
    <w:rsid w:val="003C1038"/>
    <w:rsid w:val="003C126B"/>
    <w:rsid w:val="003C16DE"/>
    <w:rsid w:val="003C1935"/>
    <w:rsid w:val="003C2038"/>
    <w:rsid w:val="003C2277"/>
    <w:rsid w:val="003C30C8"/>
    <w:rsid w:val="003C322F"/>
    <w:rsid w:val="003C4CE8"/>
    <w:rsid w:val="003C4F55"/>
    <w:rsid w:val="003C5B71"/>
    <w:rsid w:val="003C658D"/>
    <w:rsid w:val="003C7412"/>
    <w:rsid w:val="003C7884"/>
    <w:rsid w:val="003D30DE"/>
    <w:rsid w:val="003D4512"/>
    <w:rsid w:val="003D554C"/>
    <w:rsid w:val="003D57ED"/>
    <w:rsid w:val="003D6C9C"/>
    <w:rsid w:val="003D6EDD"/>
    <w:rsid w:val="003D774C"/>
    <w:rsid w:val="003E11C7"/>
    <w:rsid w:val="003E158F"/>
    <w:rsid w:val="003E26BD"/>
    <w:rsid w:val="003E2ECD"/>
    <w:rsid w:val="003E37AB"/>
    <w:rsid w:val="003E3EB8"/>
    <w:rsid w:val="003E3F48"/>
    <w:rsid w:val="003E3F79"/>
    <w:rsid w:val="003E40CD"/>
    <w:rsid w:val="003E4951"/>
    <w:rsid w:val="003E5A4E"/>
    <w:rsid w:val="003E5F51"/>
    <w:rsid w:val="003E6FF6"/>
    <w:rsid w:val="003E71F8"/>
    <w:rsid w:val="003E7E12"/>
    <w:rsid w:val="003F0467"/>
    <w:rsid w:val="003F18B2"/>
    <w:rsid w:val="003F1E17"/>
    <w:rsid w:val="003F20D4"/>
    <w:rsid w:val="003F3639"/>
    <w:rsid w:val="003F41DC"/>
    <w:rsid w:val="003F481E"/>
    <w:rsid w:val="003F504E"/>
    <w:rsid w:val="003F6A9D"/>
    <w:rsid w:val="003F6B02"/>
    <w:rsid w:val="003F7F09"/>
    <w:rsid w:val="004005D5"/>
    <w:rsid w:val="00400AF0"/>
    <w:rsid w:val="00401574"/>
    <w:rsid w:val="004025B3"/>
    <w:rsid w:val="00402A90"/>
    <w:rsid w:val="00403633"/>
    <w:rsid w:val="00403C6B"/>
    <w:rsid w:val="00404A4D"/>
    <w:rsid w:val="00404FA5"/>
    <w:rsid w:val="00405A36"/>
    <w:rsid w:val="00406706"/>
    <w:rsid w:val="00407660"/>
    <w:rsid w:val="00407715"/>
    <w:rsid w:val="00407A1B"/>
    <w:rsid w:val="00411264"/>
    <w:rsid w:val="00411C71"/>
    <w:rsid w:val="004121C0"/>
    <w:rsid w:val="00412679"/>
    <w:rsid w:val="004134B6"/>
    <w:rsid w:val="00413E83"/>
    <w:rsid w:val="00414407"/>
    <w:rsid w:val="00414630"/>
    <w:rsid w:val="00414AD2"/>
    <w:rsid w:val="004167F2"/>
    <w:rsid w:val="00417C92"/>
    <w:rsid w:val="0042000C"/>
    <w:rsid w:val="0042015A"/>
    <w:rsid w:val="0042231E"/>
    <w:rsid w:val="00422717"/>
    <w:rsid w:val="00422976"/>
    <w:rsid w:val="00423E18"/>
    <w:rsid w:val="00424B2B"/>
    <w:rsid w:val="00424B47"/>
    <w:rsid w:val="00424CB1"/>
    <w:rsid w:val="004254FE"/>
    <w:rsid w:val="00425B58"/>
    <w:rsid w:val="00426018"/>
    <w:rsid w:val="004264D1"/>
    <w:rsid w:val="00426A72"/>
    <w:rsid w:val="00426A88"/>
    <w:rsid w:val="0042787F"/>
    <w:rsid w:val="00427B0B"/>
    <w:rsid w:val="00430BAA"/>
    <w:rsid w:val="00431A8D"/>
    <w:rsid w:val="00431B61"/>
    <w:rsid w:val="004322CE"/>
    <w:rsid w:val="00434529"/>
    <w:rsid w:val="004352D0"/>
    <w:rsid w:val="004355FF"/>
    <w:rsid w:val="00435C65"/>
    <w:rsid w:val="00435DE3"/>
    <w:rsid w:val="00435ED6"/>
    <w:rsid w:val="00437330"/>
    <w:rsid w:val="004377B2"/>
    <w:rsid w:val="004379F9"/>
    <w:rsid w:val="00437AE6"/>
    <w:rsid w:val="00440248"/>
    <w:rsid w:val="00440DBF"/>
    <w:rsid w:val="00443A71"/>
    <w:rsid w:val="00445344"/>
    <w:rsid w:val="00446DE3"/>
    <w:rsid w:val="00447F04"/>
    <w:rsid w:val="00450605"/>
    <w:rsid w:val="00450849"/>
    <w:rsid w:val="004508C2"/>
    <w:rsid w:val="0045234A"/>
    <w:rsid w:val="0045251A"/>
    <w:rsid w:val="004525D5"/>
    <w:rsid w:val="004540EE"/>
    <w:rsid w:val="00454AA9"/>
    <w:rsid w:val="00454CC1"/>
    <w:rsid w:val="0045594C"/>
    <w:rsid w:val="004559B2"/>
    <w:rsid w:val="00455B72"/>
    <w:rsid w:val="004561A2"/>
    <w:rsid w:val="0045667A"/>
    <w:rsid w:val="004614C3"/>
    <w:rsid w:val="0046193F"/>
    <w:rsid w:val="004629CF"/>
    <w:rsid w:val="0046413A"/>
    <w:rsid w:val="00464507"/>
    <w:rsid w:val="0046472D"/>
    <w:rsid w:val="00466AEA"/>
    <w:rsid w:val="004709DD"/>
    <w:rsid w:val="00470FF2"/>
    <w:rsid w:val="00471058"/>
    <w:rsid w:val="004733D8"/>
    <w:rsid w:val="004735DE"/>
    <w:rsid w:val="0047473A"/>
    <w:rsid w:val="004750EC"/>
    <w:rsid w:val="0047597D"/>
    <w:rsid w:val="00475C3E"/>
    <w:rsid w:val="00475E64"/>
    <w:rsid w:val="00477BED"/>
    <w:rsid w:val="00481595"/>
    <w:rsid w:val="00481B4F"/>
    <w:rsid w:val="00481C58"/>
    <w:rsid w:val="00482D9E"/>
    <w:rsid w:val="00485434"/>
    <w:rsid w:val="00485CA1"/>
    <w:rsid w:val="00486983"/>
    <w:rsid w:val="00487029"/>
    <w:rsid w:val="00487460"/>
    <w:rsid w:val="00490561"/>
    <w:rsid w:val="00491A21"/>
    <w:rsid w:val="004934C7"/>
    <w:rsid w:val="004958A8"/>
    <w:rsid w:val="00495FF1"/>
    <w:rsid w:val="00496145"/>
    <w:rsid w:val="004A0D3E"/>
    <w:rsid w:val="004A20C9"/>
    <w:rsid w:val="004A2436"/>
    <w:rsid w:val="004A4422"/>
    <w:rsid w:val="004A44B7"/>
    <w:rsid w:val="004A603A"/>
    <w:rsid w:val="004A6605"/>
    <w:rsid w:val="004A76E4"/>
    <w:rsid w:val="004A7827"/>
    <w:rsid w:val="004B00B3"/>
    <w:rsid w:val="004B013D"/>
    <w:rsid w:val="004B18C2"/>
    <w:rsid w:val="004B1957"/>
    <w:rsid w:val="004B26C9"/>
    <w:rsid w:val="004B3667"/>
    <w:rsid w:val="004B3DA2"/>
    <w:rsid w:val="004B400A"/>
    <w:rsid w:val="004B46D1"/>
    <w:rsid w:val="004B4EFC"/>
    <w:rsid w:val="004B542A"/>
    <w:rsid w:val="004B56BA"/>
    <w:rsid w:val="004B590A"/>
    <w:rsid w:val="004B6E32"/>
    <w:rsid w:val="004B7086"/>
    <w:rsid w:val="004C06FC"/>
    <w:rsid w:val="004C1091"/>
    <w:rsid w:val="004C12B9"/>
    <w:rsid w:val="004C2436"/>
    <w:rsid w:val="004C30C3"/>
    <w:rsid w:val="004C31CF"/>
    <w:rsid w:val="004C37A2"/>
    <w:rsid w:val="004C4865"/>
    <w:rsid w:val="004C553A"/>
    <w:rsid w:val="004C5688"/>
    <w:rsid w:val="004C65EE"/>
    <w:rsid w:val="004C6F3C"/>
    <w:rsid w:val="004D0370"/>
    <w:rsid w:val="004D1F7C"/>
    <w:rsid w:val="004D2871"/>
    <w:rsid w:val="004D3368"/>
    <w:rsid w:val="004D4055"/>
    <w:rsid w:val="004D464E"/>
    <w:rsid w:val="004D4CA7"/>
    <w:rsid w:val="004D5BFF"/>
    <w:rsid w:val="004D763F"/>
    <w:rsid w:val="004D7ACD"/>
    <w:rsid w:val="004D7D69"/>
    <w:rsid w:val="004E1831"/>
    <w:rsid w:val="004E2024"/>
    <w:rsid w:val="004E24A1"/>
    <w:rsid w:val="004E26E8"/>
    <w:rsid w:val="004E50CD"/>
    <w:rsid w:val="004E5DCB"/>
    <w:rsid w:val="004E63C0"/>
    <w:rsid w:val="004F0FF0"/>
    <w:rsid w:val="004F1E63"/>
    <w:rsid w:val="004F239A"/>
    <w:rsid w:val="004F35A8"/>
    <w:rsid w:val="004F401D"/>
    <w:rsid w:val="004F4480"/>
    <w:rsid w:val="004F6109"/>
    <w:rsid w:val="004F6B31"/>
    <w:rsid w:val="004F6C20"/>
    <w:rsid w:val="004F6F1A"/>
    <w:rsid w:val="004F716F"/>
    <w:rsid w:val="004F7478"/>
    <w:rsid w:val="004F7AE6"/>
    <w:rsid w:val="00500E21"/>
    <w:rsid w:val="00500E2D"/>
    <w:rsid w:val="00501450"/>
    <w:rsid w:val="00502826"/>
    <w:rsid w:val="00503CF7"/>
    <w:rsid w:val="00503FD4"/>
    <w:rsid w:val="00505C86"/>
    <w:rsid w:val="00506347"/>
    <w:rsid w:val="00507A02"/>
    <w:rsid w:val="00511C79"/>
    <w:rsid w:val="005141FE"/>
    <w:rsid w:val="005147D7"/>
    <w:rsid w:val="00514D8D"/>
    <w:rsid w:val="00515030"/>
    <w:rsid w:val="005165CD"/>
    <w:rsid w:val="00517A74"/>
    <w:rsid w:val="00517B1F"/>
    <w:rsid w:val="0052077A"/>
    <w:rsid w:val="00521C51"/>
    <w:rsid w:val="00521D0F"/>
    <w:rsid w:val="00522B5A"/>
    <w:rsid w:val="00522DDF"/>
    <w:rsid w:val="00523A2C"/>
    <w:rsid w:val="005242C0"/>
    <w:rsid w:val="00524463"/>
    <w:rsid w:val="00525376"/>
    <w:rsid w:val="00525502"/>
    <w:rsid w:val="0052675A"/>
    <w:rsid w:val="00526E86"/>
    <w:rsid w:val="00530EF3"/>
    <w:rsid w:val="005317B2"/>
    <w:rsid w:val="00532C43"/>
    <w:rsid w:val="00532E4D"/>
    <w:rsid w:val="0053353B"/>
    <w:rsid w:val="00533B68"/>
    <w:rsid w:val="0053470E"/>
    <w:rsid w:val="00535EA2"/>
    <w:rsid w:val="00536EA0"/>
    <w:rsid w:val="00537491"/>
    <w:rsid w:val="005377CE"/>
    <w:rsid w:val="00537FAD"/>
    <w:rsid w:val="00540CFA"/>
    <w:rsid w:val="005419E7"/>
    <w:rsid w:val="00541E25"/>
    <w:rsid w:val="0054217D"/>
    <w:rsid w:val="005424E3"/>
    <w:rsid w:val="0054282C"/>
    <w:rsid w:val="005451CB"/>
    <w:rsid w:val="005459DE"/>
    <w:rsid w:val="00547D1E"/>
    <w:rsid w:val="00550443"/>
    <w:rsid w:val="005523A3"/>
    <w:rsid w:val="00552BF8"/>
    <w:rsid w:val="00554457"/>
    <w:rsid w:val="00554AFE"/>
    <w:rsid w:val="005572F3"/>
    <w:rsid w:val="00560AEA"/>
    <w:rsid w:val="00560FF3"/>
    <w:rsid w:val="00563EB4"/>
    <w:rsid w:val="00565367"/>
    <w:rsid w:val="00565CF1"/>
    <w:rsid w:val="00566BBF"/>
    <w:rsid w:val="005670D6"/>
    <w:rsid w:val="00567A03"/>
    <w:rsid w:val="00572667"/>
    <w:rsid w:val="00572714"/>
    <w:rsid w:val="005729B9"/>
    <w:rsid w:val="00572D11"/>
    <w:rsid w:val="00572D66"/>
    <w:rsid w:val="00573E1E"/>
    <w:rsid w:val="005740DD"/>
    <w:rsid w:val="00574FCE"/>
    <w:rsid w:val="005751CB"/>
    <w:rsid w:val="005754BF"/>
    <w:rsid w:val="00575E77"/>
    <w:rsid w:val="005764C1"/>
    <w:rsid w:val="00576C29"/>
    <w:rsid w:val="005800D6"/>
    <w:rsid w:val="005803C8"/>
    <w:rsid w:val="00580758"/>
    <w:rsid w:val="00580B99"/>
    <w:rsid w:val="00580CB8"/>
    <w:rsid w:val="00580FA3"/>
    <w:rsid w:val="00581CBD"/>
    <w:rsid w:val="005823A1"/>
    <w:rsid w:val="00582994"/>
    <w:rsid w:val="00583999"/>
    <w:rsid w:val="00583AF0"/>
    <w:rsid w:val="00584E18"/>
    <w:rsid w:val="0058518C"/>
    <w:rsid w:val="005852F2"/>
    <w:rsid w:val="00585AC7"/>
    <w:rsid w:val="005860F3"/>
    <w:rsid w:val="00586211"/>
    <w:rsid w:val="00586811"/>
    <w:rsid w:val="0059011B"/>
    <w:rsid w:val="00590468"/>
    <w:rsid w:val="00590510"/>
    <w:rsid w:val="00595C72"/>
    <w:rsid w:val="00595FFF"/>
    <w:rsid w:val="00597329"/>
    <w:rsid w:val="00597EE3"/>
    <w:rsid w:val="005A1206"/>
    <w:rsid w:val="005A2169"/>
    <w:rsid w:val="005A3779"/>
    <w:rsid w:val="005A3EF7"/>
    <w:rsid w:val="005A4651"/>
    <w:rsid w:val="005A4749"/>
    <w:rsid w:val="005A4AD4"/>
    <w:rsid w:val="005A57CF"/>
    <w:rsid w:val="005A59E3"/>
    <w:rsid w:val="005A68B5"/>
    <w:rsid w:val="005A7247"/>
    <w:rsid w:val="005A76AA"/>
    <w:rsid w:val="005A7E18"/>
    <w:rsid w:val="005B01E3"/>
    <w:rsid w:val="005B1B29"/>
    <w:rsid w:val="005B4503"/>
    <w:rsid w:val="005B5820"/>
    <w:rsid w:val="005B73B6"/>
    <w:rsid w:val="005C0A26"/>
    <w:rsid w:val="005C0D24"/>
    <w:rsid w:val="005C2283"/>
    <w:rsid w:val="005C229A"/>
    <w:rsid w:val="005C432C"/>
    <w:rsid w:val="005C44D1"/>
    <w:rsid w:val="005C4777"/>
    <w:rsid w:val="005C4ADD"/>
    <w:rsid w:val="005C500F"/>
    <w:rsid w:val="005C6921"/>
    <w:rsid w:val="005C7F6B"/>
    <w:rsid w:val="005D003A"/>
    <w:rsid w:val="005D08B0"/>
    <w:rsid w:val="005D1AB0"/>
    <w:rsid w:val="005D2612"/>
    <w:rsid w:val="005D2A5A"/>
    <w:rsid w:val="005D570E"/>
    <w:rsid w:val="005D7512"/>
    <w:rsid w:val="005D799B"/>
    <w:rsid w:val="005E0D06"/>
    <w:rsid w:val="005E2E72"/>
    <w:rsid w:val="005E47A8"/>
    <w:rsid w:val="005E5E6E"/>
    <w:rsid w:val="005E6CF6"/>
    <w:rsid w:val="005F049C"/>
    <w:rsid w:val="005F088A"/>
    <w:rsid w:val="005F0FF4"/>
    <w:rsid w:val="005F127F"/>
    <w:rsid w:val="005F1608"/>
    <w:rsid w:val="005F2C5B"/>
    <w:rsid w:val="005F2DAD"/>
    <w:rsid w:val="005F3523"/>
    <w:rsid w:val="005F4BE9"/>
    <w:rsid w:val="005F59F8"/>
    <w:rsid w:val="005F5AEB"/>
    <w:rsid w:val="005F5CD5"/>
    <w:rsid w:val="005F740D"/>
    <w:rsid w:val="005F7839"/>
    <w:rsid w:val="005F7EA3"/>
    <w:rsid w:val="006006A5"/>
    <w:rsid w:val="00601012"/>
    <w:rsid w:val="006019F3"/>
    <w:rsid w:val="006021B1"/>
    <w:rsid w:val="00602397"/>
    <w:rsid w:val="00602B6E"/>
    <w:rsid w:val="00602F00"/>
    <w:rsid w:val="00604BFD"/>
    <w:rsid w:val="0060513C"/>
    <w:rsid w:val="006051E7"/>
    <w:rsid w:val="00605300"/>
    <w:rsid w:val="00605EE9"/>
    <w:rsid w:val="006071DE"/>
    <w:rsid w:val="006074B0"/>
    <w:rsid w:val="00607681"/>
    <w:rsid w:val="00607E68"/>
    <w:rsid w:val="006104B5"/>
    <w:rsid w:val="00612B71"/>
    <w:rsid w:val="0061389C"/>
    <w:rsid w:val="0061398E"/>
    <w:rsid w:val="00613FC9"/>
    <w:rsid w:val="0061425B"/>
    <w:rsid w:val="00615694"/>
    <w:rsid w:val="006158CB"/>
    <w:rsid w:val="00615CED"/>
    <w:rsid w:val="00616535"/>
    <w:rsid w:val="00616A2E"/>
    <w:rsid w:val="006176E5"/>
    <w:rsid w:val="00623D2B"/>
    <w:rsid w:val="006243AF"/>
    <w:rsid w:val="006246DD"/>
    <w:rsid w:val="0062472A"/>
    <w:rsid w:val="00625FE9"/>
    <w:rsid w:val="00627652"/>
    <w:rsid w:val="006277D9"/>
    <w:rsid w:val="006316F2"/>
    <w:rsid w:val="00631AF0"/>
    <w:rsid w:val="006329EA"/>
    <w:rsid w:val="0063435B"/>
    <w:rsid w:val="006352E7"/>
    <w:rsid w:val="00635D59"/>
    <w:rsid w:val="00636375"/>
    <w:rsid w:val="006416CD"/>
    <w:rsid w:val="00641964"/>
    <w:rsid w:val="0064216F"/>
    <w:rsid w:val="0064233B"/>
    <w:rsid w:val="00644643"/>
    <w:rsid w:val="006457C3"/>
    <w:rsid w:val="00647F02"/>
    <w:rsid w:val="006512E5"/>
    <w:rsid w:val="00651861"/>
    <w:rsid w:val="00651E28"/>
    <w:rsid w:val="00652C5F"/>
    <w:rsid w:val="00653622"/>
    <w:rsid w:val="00654CFE"/>
    <w:rsid w:val="00655173"/>
    <w:rsid w:val="006563C6"/>
    <w:rsid w:val="006566E8"/>
    <w:rsid w:val="006605F8"/>
    <w:rsid w:val="00660A6D"/>
    <w:rsid w:val="00660F03"/>
    <w:rsid w:val="00660FCE"/>
    <w:rsid w:val="006611A4"/>
    <w:rsid w:val="0066252F"/>
    <w:rsid w:val="006628F4"/>
    <w:rsid w:val="00662B53"/>
    <w:rsid w:val="0066337D"/>
    <w:rsid w:val="00664652"/>
    <w:rsid w:val="006668D4"/>
    <w:rsid w:val="00666CE6"/>
    <w:rsid w:val="006670DF"/>
    <w:rsid w:val="00667B83"/>
    <w:rsid w:val="00667F87"/>
    <w:rsid w:val="00670537"/>
    <w:rsid w:val="0067276B"/>
    <w:rsid w:val="00675501"/>
    <w:rsid w:val="00675A4B"/>
    <w:rsid w:val="0067628E"/>
    <w:rsid w:val="006768B7"/>
    <w:rsid w:val="00676CFA"/>
    <w:rsid w:val="00677475"/>
    <w:rsid w:val="00677E87"/>
    <w:rsid w:val="00680DAE"/>
    <w:rsid w:val="00681B97"/>
    <w:rsid w:val="006828E0"/>
    <w:rsid w:val="00682B7B"/>
    <w:rsid w:val="00683787"/>
    <w:rsid w:val="00684A3B"/>
    <w:rsid w:val="00684B78"/>
    <w:rsid w:val="00685803"/>
    <w:rsid w:val="00685B0C"/>
    <w:rsid w:val="0068696A"/>
    <w:rsid w:val="00687C2B"/>
    <w:rsid w:val="006908BA"/>
    <w:rsid w:val="00690C6C"/>
    <w:rsid w:val="00690FF5"/>
    <w:rsid w:val="006913BF"/>
    <w:rsid w:val="0069158A"/>
    <w:rsid w:val="00691D4B"/>
    <w:rsid w:val="0069216C"/>
    <w:rsid w:val="006922F9"/>
    <w:rsid w:val="006953B9"/>
    <w:rsid w:val="0069629E"/>
    <w:rsid w:val="00696D29"/>
    <w:rsid w:val="006A1348"/>
    <w:rsid w:val="006A1665"/>
    <w:rsid w:val="006A2845"/>
    <w:rsid w:val="006A29AE"/>
    <w:rsid w:val="006A3377"/>
    <w:rsid w:val="006A34D9"/>
    <w:rsid w:val="006A37E5"/>
    <w:rsid w:val="006A4837"/>
    <w:rsid w:val="006A4DC6"/>
    <w:rsid w:val="006B19DB"/>
    <w:rsid w:val="006B2316"/>
    <w:rsid w:val="006B369B"/>
    <w:rsid w:val="006B6410"/>
    <w:rsid w:val="006B64F6"/>
    <w:rsid w:val="006B6A7B"/>
    <w:rsid w:val="006B6DE7"/>
    <w:rsid w:val="006B7487"/>
    <w:rsid w:val="006B778A"/>
    <w:rsid w:val="006C12E7"/>
    <w:rsid w:val="006C19CB"/>
    <w:rsid w:val="006C31A0"/>
    <w:rsid w:val="006C4678"/>
    <w:rsid w:val="006C4B90"/>
    <w:rsid w:val="006C6370"/>
    <w:rsid w:val="006C7943"/>
    <w:rsid w:val="006C7BD8"/>
    <w:rsid w:val="006D04EB"/>
    <w:rsid w:val="006D1E71"/>
    <w:rsid w:val="006D27F2"/>
    <w:rsid w:val="006D33B0"/>
    <w:rsid w:val="006D3539"/>
    <w:rsid w:val="006D3800"/>
    <w:rsid w:val="006D50AB"/>
    <w:rsid w:val="006D53F2"/>
    <w:rsid w:val="006D61A2"/>
    <w:rsid w:val="006D635E"/>
    <w:rsid w:val="006D742C"/>
    <w:rsid w:val="006D78A5"/>
    <w:rsid w:val="006D7B41"/>
    <w:rsid w:val="006E1633"/>
    <w:rsid w:val="006E2252"/>
    <w:rsid w:val="006E260E"/>
    <w:rsid w:val="006E2777"/>
    <w:rsid w:val="006E2BAE"/>
    <w:rsid w:val="006E300F"/>
    <w:rsid w:val="006E3AAD"/>
    <w:rsid w:val="006E4E5B"/>
    <w:rsid w:val="006E5627"/>
    <w:rsid w:val="006E6371"/>
    <w:rsid w:val="006E6385"/>
    <w:rsid w:val="006E6729"/>
    <w:rsid w:val="006F033F"/>
    <w:rsid w:val="006F1FBA"/>
    <w:rsid w:val="006F2ACF"/>
    <w:rsid w:val="006F3F72"/>
    <w:rsid w:val="006F4EFD"/>
    <w:rsid w:val="006F5290"/>
    <w:rsid w:val="006F553B"/>
    <w:rsid w:val="006F68ED"/>
    <w:rsid w:val="006F6971"/>
    <w:rsid w:val="006F6A0E"/>
    <w:rsid w:val="006F7B26"/>
    <w:rsid w:val="006F7DEC"/>
    <w:rsid w:val="00700E4B"/>
    <w:rsid w:val="00702CBB"/>
    <w:rsid w:val="00703352"/>
    <w:rsid w:val="00703E1C"/>
    <w:rsid w:val="0070525B"/>
    <w:rsid w:val="00705B28"/>
    <w:rsid w:val="00707021"/>
    <w:rsid w:val="00707322"/>
    <w:rsid w:val="00707AC5"/>
    <w:rsid w:val="007108D9"/>
    <w:rsid w:val="00710CB1"/>
    <w:rsid w:val="0071109E"/>
    <w:rsid w:val="007115ED"/>
    <w:rsid w:val="00711A1B"/>
    <w:rsid w:val="0071342B"/>
    <w:rsid w:val="00713845"/>
    <w:rsid w:val="007138F7"/>
    <w:rsid w:val="00713DB0"/>
    <w:rsid w:val="007140FA"/>
    <w:rsid w:val="007142C3"/>
    <w:rsid w:val="007150F3"/>
    <w:rsid w:val="0071615A"/>
    <w:rsid w:val="00717C43"/>
    <w:rsid w:val="00720149"/>
    <w:rsid w:val="007207E2"/>
    <w:rsid w:val="00722F42"/>
    <w:rsid w:val="00723311"/>
    <w:rsid w:val="00724DAE"/>
    <w:rsid w:val="0072518E"/>
    <w:rsid w:val="0072562D"/>
    <w:rsid w:val="00727BF5"/>
    <w:rsid w:val="00727F33"/>
    <w:rsid w:val="007306A1"/>
    <w:rsid w:val="00731BF5"/>
    <w:rsid w:val="00731C43"/>
    <w:rsid w:val="00734E29"/>
    <w:rsid w:val="00735B43"/>
    <w:rsid w:val="00735FDD"/>
    <w:rsid w:val="0073700E"/>
    <w:rsid w:val="00740904"/>
    <w:rsid w:val="007420F0"/>
    <w:rsid w:val="007426B7"/>
    <w:rsid w:val="00743DA0"/>
    <w:rsid w:val="00746270"/>
    <w:rsid w:val="00746273"/>
    <w:rsid w:val="00747195"/>
    <w:rsid w:val="007477DD"/>
    <w:rsid w:val="00750DC4"/>
    <w:rsid w:val="00751820"/>
    <w:rsid w:val="00751D08"/>
    <w:rsid w:val="007525CE"/>
    <w:rsid w:val="0075283C"/>
    <w:rsid w:val="00752C5E"/>
    <w:rsid w:val="00753127"/>
    <w:rsid w:val="00753A29"/>
    <w:rsid w:val="00753E1A"/>
    <w:rsid w:val="007540FE"/>
    <w:rsid w:val="00755165"/>
    <w:rsid w:val="00755D4A"/>
    <w:rsid w:val="00756075"/>
    <w:rsid w:val="00757681"/>
    <w:rsid w:val="00757E54"/>
    <w:rsid w:val="00761E31"/>
    <w:rsid w:val="007621DC"/>
    <w:rsid w:val="00762366"/>
    <w:rsid w:val="00762388"/>
    <w:rsid w:val="0076274F"/>
    <w:rsid w:val="00763160"/>
    <w:rsid w:val="0076368E"/>
    <w:rsid w:val="00765001"/>
    <w:rsid w:val="0076565F"/>
    <w:rsid w:val="0077166F"/>
    <w:rsid w:val="0077181F"/>
    <w:rsid w:val="00771B89"/>
    <w:rsid w:val="00772558"/>
    <w:rsid w:val="00773C4B"/>
    <w:rsid w:val="00773C6D"/>
    <w:rsid w:val="00774641"/>
    <w:rsid w:val="00775D0F"/>
    <w:rsid w:val="007807F3"/>
    <w:rsid w:val="00780F65"/>
    <w:rsid w:val="007810FB"/>
    <w:rsid w:val="007819DE"/>
    <w:rsid w:val="00783592"/>
    <w:rsid w:val="00783FD3"/>
    <w:rsid w:val="00784B8E"/>
    <w:rsid w:val="00785617"/>
    <w:rsid w:val="00785B1D"/>
    <w:rsid w:val="00785BEF"/>
    <w:rsid w:val="0078698F"/>
    <w:rsid w:val="00787647"/>
    <w:rsid w:val="0078EE96"/>
    <w:rsid w:val="0079072E"/>
    <w:rsid w:val="00790CAE"/>
    <w:rsid w:val="0079193E"/>
    <w:rsid w:val="00791DFA"/>
    <w:rsid w:val="0079396D"/>
    <w:rsid w:val="00793BB1"/>
    <w:rsid w:val="007945DC"/>
    <w:rsid w:val="007965B9"/>
    <w:rsid w:val="0079725B"/>
    <w:rsid w:val="007A2ABB"/>
    <w:rsid w:val="007A415C"/>
    <w:rsid w:val="007A4242"/>
    <w:rsid w:val="007A5876"/>
    <w:rsid w:val="007B0158"/>
    <w:rsid w:val="007B0460"/>
    <w:rsid w:val="007B056A"/>
    <w:rsid w:val="007B0D10"/>
    <w:rsid w:val="007B305A"/>
    <w:rsid w:val="007B33A8"/>
    <w:rsid w:val="007B3773"/>
    <w:rsid w:val="007B3A6E"/>
    <w:rsid w:val="007B6048"/>
    <w:rsid w:val="007B67E6"/>
    <w:rsid w:val="007B747F"/>
    <w:rsid w:val="007B7FD9"/>
    <w:rsid w:val="007C18BD"/>
    <w:rsid w:val="007C1F8C"/>
    <w:rsid w:val="007C3C1A"/>
    <w:rsid w:val="007C4EB8"/>
    <w:rsid w:val="007C5631"/>
    <w:rsid w:val="007C5CB8"/>
    <w:rsid w:val="007C67D7"/>
    <w:rsid w:val="007C6C3B"/>
    <w:rsid w:val="007C72DB"/>
    <w:rsid w:val="007D0430"/>
    <w:rsid w:val="007D0D87"/>
    <w:rsid w:val="007D15A0"/>
    <w:rsid w:val="007D2560"/>
    <w:rsid w:val="007D3122"/>
    <w:rsid w:val="007D31F8"/>
    <w:rsid w:val="007D3470"/>
    <w:rsid w:val="007D3B34"/>
    <w:rsid w:val="007D42DE"/>
    <w:rsid w:val="007D5E74"/>
    <w:rsid w:val="007D6034"/>
    <w:rsid w:val="007D6561"/>
    <w:rsid w:val="007D7DCD"/>
    <w:rsid w:val="007E0C61"/>
    <w:rsid w:val="007E10A5"/>
    <w:rsid w:val="007E132C"/>
    <w:rsid w:val="007E1918"/>
    <w:rsid w:val="007E1EF5"/>
    <w:rsid w:val="007E219E"/>
    <w:rsid w:val="007E2265"/>
    <w:rsid w:val="007E229D"/>
    <w:rsid w:val="007E23A8"/>
    <w:rsid w:val="007E3D19"/>
    <w:rsid w:val="007E4B8D"/>
    <w:rsid w:val="007E5226"/>
    <w:rsid w:val="007E681E"/>
    <w:rsid w:val="007F05F1"/>
    <w:rsid w:val="007F0ECD"/>
    <w:rsid w:val="007F10E5"/>
    <w:rsid w:val="007F1543"/>
    <w:rsid w:val="007F1746"/>
    <w:rsid w:val="007F1AEC"/>
    <w:rsid w:val="007F2861"/>
    <w:rsid w:val="007F2CB7"/>
    <w:rsid w:val="007F2EC1"/>
    <w:rsid w:val="007F2FE8"/>
    <w:rsid w:val="007F3083"/>
    <w:rsid w:val="007F3228"/>
    <w:rsid w:val="007F3528"/>
    <w:rsid w:val="007F3E2B"/>
    <w:rsid w:val="007F4289"/>
    <w:rsid w:val="007F4D5D"/>
    <w:rsid w:val="007F5254"/>
    <w:rsid w:val="007F6576"/>
    <w:rsid w:val="007F7FEE"/>
    <w:rsid w:val="00800172"/>
    <w:rsid w:val="00801375"/>
    <w:rsid w:val="008014AC"/>
    <w:rsid w:val="00801D35"/>
    <w:rsid w:val="00802C25"/>
    <w:rsid w:val="008032D3"/>
    <w:rsid w:val="0080339A"/>
    <w:rsid w:val="00803826"/>
    <w:rsid w:val="00803B22"/>
    <w:rsid w:val="00804377"/>
    <w:rsid w:val="008043F0"/>
    <w:rsid w:val="00805827"/>
    <w:rsid w:val="00810CB0"/>
    <w:rsid w:val="008112E7"/>
    <w:rsid w:val="00811500"/>
    <w:rsid w:val="00811AEA"/>
    <w:rsid w:val="00811E1D"/>
    <w:rsid w:val="00813BCB"/>
    <w:rsid w:val="00813BDA"/>
    <w:rsid w:val="00814EFC"/>
    <w:rsid w:val="0081554E"/>
    <w:rsid w:val="008157B9"/>
    <w:rsid w:val="00815924"/>
    <w:rsid w:val="008161EA"/>
    <w:rsid w:val="00816E94"/>
    <w:rsid w:val="008174C5"/>
    <w:rsid w:val="00817F2F"/>
    <w:rsid w:val="00820581"/>
    <w:rsid w:val="00820D92"/>
    <w:rsid w:val="00820E88"/>
    <w:rsid w:val="0082107F"/>
    <w:rsid w:val="008213FF"/>
    <w:rsid w:val="00821A6D"/>
    <w:rsid w:val="00822751"/>
    <w:rsid w:val="008230CE"/>
    <w:rsid w:val="008240BE"/>
    <w:rsid w:val="008242D4"/>
    <w:rsid w:val="0082526F"/>
    <w:rsid w:val="00826971"/>
    <w:rsid w:val="008277D1"/>
    <w:rsid w:val="00834460"/>
    <w:rsid w:val="00835949"/>
    <w:rsid w:val="00836435"/>
    <w:rsid w:val="00836792"/>
    <w:rsid w:val="00837647"/>
    <w:rsid w:val="00840B20"/>
    <w:rsid w:val="00841EDB"/>
    <w:rsid w:val="00842089"/>
    <w:rsid w:val="00842096"/>
    <w:rsid w:val="0084212F"/>
    <w:rsid w:val="00842EA0"/>
    <w:rsid w:val="008430D0"/>
    <w:rsid w:val="00843460"/>
    <w:rsid w:val="00843552"/>
    <w:rsid w:val="00843E8D"/>
    <w:rsid w:val="00844850"/>
    <w:rsid w:val="00845089"/>
    <w:rsid w:val="00845511"/>
    <w:rsid w:val="00845D79"/>
    <w:rsid w:val="00846B06"/>
    <w:rsid w:val="00847A78"/>
    <w:rsid w:val="0085094F"/>
    <w:rsid w:val="0085109D"/>
    <w:rsid w:val="008514DE"/>
    <w:rsid w:val="008534D3"/>
    <w:rsid w:val="00853A97"/>
    <w:rsid w:val="00854295"/>
    <w:rsid w:val="008542DA"/>
    <w:rsid w:val="00855E27"/>
    <w:rsid w:val="008563E0"/>
    <w:rsid w:val="0085650F"/>
    <w:rsid w:val="00856796"/>
    <w:rsid w:val="008567D2"/>
    <w:rsid w:val="00856D2A"/>
    <w:rsid w:val="008573B5"/>
    <w:rsid w:val="00857BD8"/>
    <w:rsid w:val="00857C8F"/>
    <w:rsid w:val="0086069B"/>
    <w:rsid w:val="00861D47"/>
    <w:rsid w:val="00861F62"/>
    <w:rsid w:val="00862C59"/>
    <w:rsid w:val="00863546"/>
    <w:rsid w:val="00863841"/>
    <w:rsid w:val="00863B79"/>
    <w:rsid w:val="008652C2"/>
    <w:rsid w:val="008670ED"/>
    <w:rsid w:val="008674A9"/>
    <w:rsid w:val="00867AA9"/>
    <w:rsid w:val="00867D95"/>
    <w:rsid w:val="00870770"/>
    <w:rsid w:val="00870942"/>
    <w:rsid w:val="00870ACC"/>
    <w:rsid w:val="00870D0A"/>
    <w:rsid w:val="00872380"/>
    <w:rsid w:val="0087397D"/>
    <w:rsid w:val="00874351"/>
    <w:rsid w:val="0087446F"/>
    <w:rsid w:val="00874738"/>
    <w:rsid w:val="00875011"/>
    <w:rsid w:val="00875194"/>
    <w:rsid w:val="00877E82"/>
    <w:rsid w:val="00881157"/>
    <w:rsid w:val="008813BE"/>
    <w:rsid w:val="00881446"/>
    <w:rsid w:val="00883B7D"/>
    <w:rsid w:val="00883ED2"/>
    <w:rsid w:val="008847A2"/>
    <w:rsid w:val="00886314"/>
    <w:rsid w:val="00886C89"/>
    <w:rsid w:val="00886F9C"/>
    <w:rsid w:val="00887BBA"/>
    <w:rsid w:val="00887F48"/>
    <w:rsid w:val="00890DE6"/>
    <w:rsid w:val="00893EF1"/>
    <w:rsid w:val="00894663"/>
    <w:rsid w:val="0089580C"/>
    <w:rsid w:val="008959F3"/>
    <w:rsid w:val="00896657"/>
    <w:rsid w:val="00896866"/>
    <w:rsid w:val="008968C4"/>
    <w:rsid w:val="00896BED"/>
    <w:rsid w:val="008976CC"/>
    <w:rsid w:val="008A4197"/>
    <w:rsid w:val="008A49A5"/>
    <w:rsid w:val="008A595A"/>
    <w:rsid w:val="008A706A"/>
    <w:rsid w:val="008B06FD"/>
    <w:rsid w:val="008B1085"/>
    <w:rsid w:val="008B10CE"/>
    <w:rsid w:val="008B17F4"/>
    <w:rsid w:val="008B20DF"/>
    <w:rsid w:val="008B2A33"/>
    <w:rsid w:val="008B54C1"/>
    <w:rsid w:val="008B5B40"/>
    <w:rsid w:val="008B6232"/>
    <w:rsid w:val="008B6ADB"/>
    <w:rsid w:val="008B7101"/>
    <w:rsid w:val="008C043F"/>
    <w:rsid w:val="008C14DC"/>
    <w:rsid w:val="008C1BA3"/>
    <w:rsid w:val="008C271B"/>
    <w:rsid w:val="008C2A83"/>
    <w:rsid w:val="008C2DB0"/>
    <w:rsid w:val="008C32D2"/>
    <w:rsid w:val="008C3FD3"/>
    <w:rsid w:val="008C46FE"/>
    <w:rsid w:val="008C4873"/>
    <w:rsid w:val="008C5E77"/>
    <w:rsid w:val="008D0718"/>
    <w:rsid w:val="008D0858"/>
    <w:rsid w:val="008D1ECC"/>
    <w:rsid w:val="008D25D9"/>
    <w:rsid w:val="008D295C"/>
    <w:rsid w:val="008D2D8B"/>
    <w:rsid w:val="008D3404"/>
    <w:rsid w:val="008D4C2A"/>
    <w:rsid w:val="008D52E3"/>
    <w:rsid w:val="008D59A7"/>
    <w:rsid w:val="008D780A"/>
    <w:rsid w:val="008D7A6B"/>
    <w:rsid w:val="008E0593"/>
    <w:rsid w:val="008E3691"/>
    <w:rsid w:val="008E3727"/>
    <w:rsid w:val="008E4C41"/>
    <w:rsid w:val="008E54AC"/>
    <w:rsid w:val="008E5F83"/>
    <w:rsid w:val="008E6D54"/>
    <w:rsid w:val="008E7898"/>
    <w:rsid w:val="008F00AE"/>
    <w:rsid w:val="008F106F"/>
    <w:rsid w:val="008F1133"/>
    <w:rsid w:val="008F30D4"/>
    <w:rsid w:val="008F3828"/>
    <w:rsid w:val="008F3D7F"/>
    <w:rsid w:val="008F750A"/>
    <w:rsid w:val="00900A07"/>
    <w:rsid w:val="00900C41"/>
    <w:rsid w:val="00901C67"/>
    <w:rsid w:val="00902555"/>
    <w:rsid w:val="00902762"/>
    <w:rsid w:val="00902CCC"/>
    <w:rsid w:val="00902F88"/>
    <w:rsid w:val="009036C8"/>
    <w:rsid w:val="00905137"/>
    <w:rsid w:val="0090547D"/>
    <w:rsid w:val="00905729"/>
    <w:rsid w:val="009063C2"/>
    <w:rsid w:val="00907BBE"/>
    <w:rsid w:val="00910C74"/>
    <w:rsid w:val="00911BCD"/>
    <w:rsid w:val="00912CD8"/>
    <w:rsid w:val="00912DBE"/>
    <w:rsid w:val="00912FB1"/>
    <w:rsid w:val="0091398E"/>
    <w:rsid w:val="00913A7B"/>
    <w:rsid w:val="009170E1"/>
    <w:rsid w:val="0091727E"/>
    <w:rsid w:val="009172DE"/>
    <w:rsid w:val="00917A3B"/>
    <w:rsid w:val="00917FCD"/>
    <w:rsid w:val="00920535"/>
    <w:rsid w:val="009226AD"/>
    <w:rsid w:val="00922AA3"/>
    <w:rsid w:val="0092448F"/>
    <w:rsid w:val="009247E1"/>
    <w:rsid w:val="00925211"/>
    <w:rsid w:val="00925750"/>
    <w:rsid w:val="00925955"/>
    <w:rsid w:val="00925B42"/>
    <w:rsid w:val="00925F9A"/>
    <w:rsid w:val="0092653A"/>
    <w:rsid w:val="009273F0"/>
    <w:rsid w:val="0092769C"/>
    <w:rsid w:val="0093035E"/>
    <w:rsid w:val="00931BEE"/>
    <w:rsid w:val="0093263B"/>
    <w:rsid w:val="00932E30"/>
    <w:rsid w:val="009347B7"/>
    <w:rsid w:val="0093486D"/>
    <w:rsid w:val="00934B57"/>
    <w:rsid w:val="00934E4D"/>
    <w:rsid w:val="009351F1"/>
    <w:rsid w:val="009357A8"/>
    <w:rsid w:val="009378F0"/>
    <w:rsid w:val="00937CF7"/>
    <w:rsid w:val="009421B3"/>
    <w:rsid w:val="009450FA"/>
    <w:rsid w:val="009461B0"/>
    <w:rsid w:val="009470EB"/>
    <w:rsid w:val="009472F8"/>
    <w:rsid w:val="009477B8"/>
    <w:rsid w:val="00950257"/>
    <w:rsid w:val="00952ABF"/>
    <w:rsid w:val="00953A42"/>
    <w:rsid w:val="00953A8B"/>
    <w:rsid w:val="00954E3E"/>
    <w:rsid w:val="009557DA"/>
    <w:rsid w:val="0095605C"/>
    <w:rsid w:val="00956C7B"/>
    <w:rsid w:val="00956DC3"/>
    <w:rsid w:val="00956E08"/>
    <w:rsid w:val="00960124"/>
    <w:rsid w:val="009601A9"/>
    <w:rsid w:val="00960611"/>
    <w:rsid w:val="009619A0"/>
    <w:rsid w:val="0096238F"/>
    <w:rsid w:val="009624E3"/>
    <w:rsid w:val="00962C67"/>
    <w:rsid w:val="00963A8E"/>
    <w:rsid w:val="00965101"/>
    <w:rsid w:val="00965595"/>
    <w:rsid w:val="00965E9F"/>
    <w:rsid w:val="00967732"/>
    <w:rsid w:val="00967A86"/>
    <w:rsid w:val="00967B45"/>
    <w:rsid w:val="009709F5"/>
    <w:rsid w:val="009725DB"/>
    <w:rsid w:val="00972773"/>
    <w:rsid w:val="009731BB"/>
    <w:rsid w:val="00973C5B"/>
    <w:rsid w:val="00974BDE"/>
    <w:rsid w:val="009752BD"/>
    <w:rsid w:val="00975B5C"/>
    <w:rsid w:val="00976391"/>
    <w:rsid w:val="00976AE9"/>
    <w:rsid w:val="00976BA8"/>
    <w:rsid w:val="009806C2"/>
    <w:rsid w:val="00982B55"/>
    <w:rsid w:val="009832AA"/>
    <w:rsid w:val="00983768"/>
    <w:rsid w:val="0098471F"/>
    <w:rsid w:val="00985EEA"/>
    <w:rsid w:val="00986DD6"/>
    <w:rsid w:val="00987614"/>
    <w:rsid w:val="00990E2E"/>
    <w:rsid w:val="00991742"/>
    <w:rsid w:val="00991B5D"/>
    <w:rsid w:val="00994B9E"/>
    <w:rsid w:val="00995843"/>
    <w:rsid w:val="00995E22"/>
    <w:rsid w:val="00996533"/>
    <w:rsid w:val="009967FE"/>
    <w:rsid w:val="0099683B"/>
    <w:rsid w:val="009973A9"/>
    <w:rsid w:val="00997434"/>
    <w:rsid w:val="00997B43"/>
    <w:rsid w:val="009A024F"/>
    <w:rsid w:val="009A0433"/>
    <w:rsid w:val="009A097F"/>
    <w:rsid w:val="009A0C9F"/>
    <w:rsid w:val="009A2E0D"/>
    <w:rsid w:val="009A3A99"/>
    <w:rsid w:val="009A4286"/>
    <w:rsid w:val="009A5965"/>
    <w:rsid w:val="009A663C"/>
    <w:rsid w:val="009A6B67"/>
    <w:rsid w:val="009B05F3"/>
    <w:rsid w:val="009B0E2A"/>
    <w:rsid w:val="009B1AA9"/>
    <w:rsid w:val="009B1BD2"/>
    <w:rsid w:val="009B25B5"/>
    <w:rsid w:val="009B26D0"/>
    <w:rsid w:val="009B384D"/>
    <w:rsid w:val="009B57B1"/>
    <w:rsid w:val="009B7958"/>
    <w:rsid w:val="009B7F95"/>
    <w:rsid w:val="009C21B3"/>
    <w:rsid w:val="009C2AFD"/>
    <w:rsid w:val="009C2BFC"/>
    <w:rsid w:val="009C36C5"/>
    <w:rsid w:val="009C4AA3"/>
    <w:rsid w:val="009C4B86"/>
    <w:rsid w:val="009C5138"/>
    <w:rsid w:val="009C549C"/>
    <w:rsid w:val="009C54D5"/>
    <w:rsid w:val="009C6E3C"/>
    <w:rsid w:val="009C7BA4"/>
    <w:rsid w:val="009C7C26"/>
    <w:rsid w:val="009D01C2"/>
    <w:rsid w:val="009D0B1E"/>
    <w:rsid w:val="009D19A1"/>
    <w:rsid w:val="009D2A62"/>
    <w:rsid w:val="009D3D4D"/>
    <w:rsid w:val="009D40DE"/>
    <w:rsid w:val="009D484C"/>
    <w:rsid w:val="009D6A6F"/>
    <w:rsid w:val="009E037A"/>
    <w:rsid w:val="009E1A86"/>
    <w:rsid w:val="009E1BDD"/>
    <w:rsid w:val="009E2983"/>
    <w:rsid w:val="009E3A3C"/>
    <w:rsid w:val="009E3C75"/>
    <w:rsid w:val="009E590F"/>
    <w:rsid w:val="009E5972"/>
    <w:rsid w:val="009E6DD7"/>
    <w:rsid w:val="009E6E4C"/>
    <w:rsid w:val="009E77A3"/>
    <w:rsid w:val="009F0212"/>
    <w:rsid w:val="009F1AEE"/>
    <w:rsid w:val="009F2738"/>
    <w:rsid w:val="009F2A44"/>
    <w:rsid w:val="009F4756"/>
    <w:rsid w:val="009F4D5A"/>
    <w:rsid w:val="009F5A9C"/>
    <w:rsid w:val="009F5BD2"/>
    <w:rsid w:val="009F5EE5"/>
    <w:rsid w:val="009F7365"/>
    <w:rsid w:val="00A010D3"/>
    <w:rsid w:val="00A011FE"/>
    <w:rsid w:val="00A0135D"/>
    <w:rsid w:val="00A01475"/>
    <w:rsid w:val="00A02C0D"/>
    <w:rsid w:val="00A0330F"/>
    <w:rsid w:val="00A04CE6"/>
    <w:rsid w:val="00A05F58"/>
    <w:rsid w:val="00A06822"/>
    <w:rsid w:val="00A06E6D"/>
    <w:rsid w:val="00A0745B"/>
    <w:rsid w:val="00A07703"/>
    <w:rsid w:val="00A07B5F"/>
    <w:rsid w:val="00A07C7B"/>
    <w:rsid w:val="00A11873"/>
    <w:rsid w:val="00A120C7"/>
    <w:rsid w:val="00A12E61"/>
    <w:rsid w:val="00A12F20"/>
    <w:rsid w:val="00A1304B"/>
    <w:rsid w:val="00A14968"/>
    <w:rsid w:val="00A1540B"/>
    <w:rsid w:val="00A15B92"/>
    <w:rsid w:val="00A170C8"/>
    <w:rsid w:val="00A208A5"/>
    <w:rsid w:val="00A208AB"/>
    <w:rsid w:val="00A208B4"/>
    <w:rsid w:val="00A20E34"/>
    <w:rsid w:val="00A21453"/>
    <w:rsid w:val="00A23257"/>
    <w:rsid w:val="00A2434D"/>
    <w:rsid w:val="00A24B24"/>
    <w:rsid w:val="00A25DDA"/>
    <w:rsid w:val="00A261C7"/>
    <w:rsid w:val="00A268BA"/>
    <w:rsid w:val="00A2718C"/>
    <w:rsid w:val="00A27FB5"/>
    <w:rsid w:val="00A30062"/>
    <w:rsid w:val="00A30BFA"/>
    <w:rsid w:val="00A30D5B"/>
    <w:rsid w:val="00A31FB1"/>
    <w:rsid w:val="00A3398E"/>
    <w:rsid w:val="00A33A98"/>
    <w:rsid w:val="00A33F48"/>
    <w:rsid w:val="00A348BD"/>
    <w:rsid w:val="00A35E1F"/>
    <w:rsid w:val="00A36027"/>
    <w:rsid w:val="00A36ECA"/>
    <w:rsid w:val="00A36F24"/>
    <w:rsid w:val="00A37C65"/>
    <w:rsid w:val="00A37F37"/>
    <w:rsid w:val="00A40ED7"/>
    <w:rsid w:val="00A41C44"/>
    <w:rsid w:val="00A424C7"/>
    <w:rsid w:val="00A4493D"/>
    <w:rsid w:val="00A46F8E"/>
    <w:rsid w:val="00A47C90"/>
    <w:rsid w:val="00A514B4"/>
    <w:rsid w:val="00A53386"/>
    <w:rsid w:val="00A53E79"/>
    <w:rsid w:val="00A543CD"/>
    <w:rsid w:val="00A5581D"/>
    <w:rsid w:val="00A5600E"/>
    <w:rsid w:val="00A566B5"/>
    <w:rsid w:val="00A57F65"/>
    <w:rsid w:val="00A61750"/>
    <w:rsid w:val="00A628A9"/>
    <w:rsid w:val="00A64F1C"/>
    <w:rsid w:val="00A65F3C"/>
    <w:rsid w:val="00A665C2"/>
    <w:rsid w:val="00A66FBD"/>
    <w:rsid w:val="00A6711D"/>
    <w:rsid w:val="00A700CA"/>
    <w:rsid w:val="00A701FF"/>
    <w:rsid w:val="00A709CC"/>
    <w:rsid w:val="00A70EB1"/>
    <w:rsid w:val="00A712FB"/>
    <w:rsid w:val="00A72C99"/>
    <w:rsid w:val="00A72FD8"/>
    <w:rsid w:val="00A73B54"/>
    <w:rsid w:val="00A744D5"/>
    <w:rsid w:val="00A76495"/>
    <w:rsid w:val="00A771F1"/>
    <w:rsid w:val="00A80B63"/>
    <w:rsid w:val="00A81452"/>
    <w:rsid w:val="00A81CF9"/>
    <w:rsid w:val="00A8271B"/>
    <w:rsid w:val="00A83129"/>
    <w:rsid w:val="00A84CA1"/>
    <w:rsid w:val="00A85552"/>
    <w:rsid w:val="00A8617C"/>
    <w:rsid w:val="00A864F4"/>
    <w:rsid w:val="00A87395"/>
    <w:rsid w:val="00A9068E"/>
    <w:rsid w:val="00A90851"/>
    <w:rsid w:val="00A9214A"/>
    <w:rsid w:val="00A945C7"/>
    <w:rsid w:val="00A9487F"/>
    <w:rsid w:val="00A9590B"/>
    <w:rsid w:val="00A96A79"/>
    <w:rsid w:val="00A97ECA"/>
    <w:rsid w:val="00AA2466"/>
    <w:rsid w:val="00AA3C54"/>
    <w:rsid w:val="00AA3D66"/>
    <w:rsid w:val="00AA411C"/>
    <w:rsid w:val="00AA499E"/>
    <w:rsid w:val="00AA4BB4"/>
    <w:rsid w:val="00AA5EDF"/>
    <w:rsid w:val="00AA698F"/>
    <w:rsid w:val="00AA7292"/>
    <w:rsid w:val="00AA75F5"/>
    <w:rsid w:val="00AA7800"/>
    <w:rsid w:val="00AB0365"/>
    <w:rsid w:val="00AB0873"/>
    <w:rsid w:val="00AB08EF"/>
    <w:rsid w:val="00AB48E7"/>
    <w:rsid w:val="00AB516E"/>
    <w:rsid w:val="00AB5307"/>
    <w:rsid w:val="00AB61BE"/>
    <w:rsid w:val="00AB7C87"/>
    <w:rsid w:val="00AB7CCA"/>
    <w:rsid w:val="00AC014F"/>
    <w:rsid w:val="00AC13EA"/>
    <w:rsid w:val="00AC2094"/>
    <w:rsid w:val="00AC3806"/>
    <w:rsid w:val="00AC40E1"/>
    <w:rsid w:val="00AD03AA"/>
    <w:rsid w:val="00AD1588"/>
    <w:rsid w:val="00AD1BC9"/>
    <w:rsid w:val="00AD341B"/>
    <w:rsid w:val="00AD3A19"/>
    <w:rsid w:val="00AD3A8D"/>
    <w:rsid w:val="00AD47BA"/>
    <w:rsid w:val="00AD483E"/>
    <w:rsid w:val="00AD583B"/>
    <w:rsid w:val="00AD6343"/>
    <w:rsid w:val="00AD6E74"/>
    <w:rsid w:val="00AE12BA"/>
    <w:rsid w:val="00AE1AF8"/>
    <w:rsid w:val="00AE3DA8"/>
    <w:rsid w:val="00AE432D"/>
    <w:rsid w:val="00AE5610"/>
    <w:rsid w:val="00AE6769"/>
    <w:rsid w:val="00AE6805"/>
    <w:rsid w:val="00AE7FD1"/>
    <w:rsid w:val="00AF04B6"/>
    <w:rsid w:val="00AF1775"/>
    <w:rsid w:val="00AF37CC"/>
    <w:rsid w:val="00AF4776"/>
    <w:rsid w:val="00AF531B"/>
    <w:rsid w:val="00AF58D5"/>
    <w:rsid w:val="00AF6FA1"/>
    <w:rsid w:val="00AF7245"/>
    <w:rsid w:val="00AF7AC5"/>
    <w:rsid w:val="00AF7CCA"/>
    <w:rsid w:val="00B00E70"/>
    <w:rsid w:val="00B01943"/>
    <w:rsid w:val="00B01CA2"/>
    <w:rsid w:val="00B041A3"/>
    <w:rsid w:val="00B041FD"/>
    <w:rsid w:val="00B07CC8"/>
    <w:rsid w:val="00B10352"/>
    <w:rsid w:val="00B10C0D"/>
    <w:rsid w:val="00B111F3"/>
    <w:rsid w:val="00B11B29"/>
    <w:rsid w:val="00B11C93"/>
    <w:rsid w:val="00B12113"/>
    <w:rsid w:val="00B12A3D"/>
    <w:rsid w:val="00B12B72"/>
    <w:rsid w:val="00B12D3F"/>
    <w:rsid w:val="00B12EAA"/>
    <w:rsid w:val="00B1361D"/>
    <w:rsid w:val="00B137B1"/>
    <w:rsid w:val="00B14C09"/>
    <w:rsid w:val="00B14E52"/>
    <w:rsid w:val="00B15272"/>
    <w:rsid w:val="00B15365"/>
    <w:rsid w:val="00B16B09"/>
    <w:rsid w:val="00B207FB"/>
    <w:rsid w:val="00B216E4"/>
    <w:rsid w:val="00B21806"/>
    <w:rsid w:val="00B21D59"/>
    <w:rsid w:val="00B22B09"/>
    <w:rsid w:val="00B22E89"/>
    <w:rsid w:val="00B2360E"/>
    <w:rsid w:val="00B23680"/>
    <w:rsid w:val="00B23CFE"/>
    <w:rsid w:val="00B23DC1"/>
    <w:rsid w:val="00B27203"/>
    <w:rsid w:val="00B27650"/>
    <w:rsid w:val="00B27AB2"/>
    <w:rsid w:val="00B27B70"/>
    <w:rsid w:val="00B3028F"/>
    <w:rsid w:val="00B30B75"/>
    <w:rsid w:val="00B30B8A"/>
    <w:rsid w:val="00B32EBE"/>
    <w:rsid w:val="00B3366C"/>
    <w:rsid w:val="00B34262"/>
    <w:rsid w:val="00B356BD"/>
    <w:rsid w:val="00B372D8"/>
    <w:rsid w:val="00B373F4"/>
    <w:rsid w:val="00B405CA"/>
    <w:rsid w:val="00B423A2"/>
    <w:rsid w:val="00B42649"/>
    <w:rsid w:val="00B42BF7"/>
    <w:rsid w:val="00B4306A"/>
    <w:rsid w:val="00B432C9"/>
    <w:rsid w:val="00B43A13"/>
    <w:rsid w:val="00B43FE2"/>
    <w:rsid w:val="00B447E2"/>
    <w:rsid w:val="00B44E60"/>
    <w:rsid w:val="00B451C7"/>
    <w:rsid w:val="00B45242"/>
    <w:rsid w:val="00B45A54"/>
    <w:rsid w:val="00B45B0D"/>
    <w:rsid w:val="00B461AB"/>
    <w:rsid w:val="00B50878"/>
    <w:rsid w:val="00B50C5C"/>
    <w:rsid w:val="00B5136A"/>
    <w:rsid w:val="00B52149"/>
    <w:rsid w:val="00B52A01"/>
    <w:rsid w:val="00B53321"/>
    <w:rsid w:val="00B537D0"/>
    <w:rsid w:val="00B53EED"/>
    <w:rsid w:val="00B544A3"/>
    <w:rsid w:val="00B54878"/>
    <w:rsid w:val="00B549C7"/>
    <w:rsid w:val="00B54B20"/>
    <w:rsid w:val="00B55100"/>
    <w:rsid w:val="00B55AFE"/>
    <w:rsid w:val="00B57979"/>
    <w:rsid w:val="00B57E01"/>
    <w:rsid w:val="00B57E88"/>
    <w:rsid w:val="00B603D7"/>
    <w:rsid w:val="00B6235D"/>
    <w:rsid w:val="00B641D0"/>
    <w:rsid w:val="00B64214"/>
    <w:rsid w:val="00B6453F"/>
    <w:rsid w:val="00B6471D"/>
    <w:rsid w:val="00B64B87"/>
    <w:rsid w:val="00B64C8A"/>
    <w:rsid w:val="00B6599C"/>
    <w:rsid w:val="00B66430"/>
    <w:rsid w:val="00B66E0D"/>
    <w:rsid w:val="00B673B9"/>
    <w:rsid w:val="00B67C0A"/>
    <w:rsid w:val="00B703A5"/>
    <w:rsid w:val="00B70B9C"/>
    <w:rsid w:val="00B7220C"/>
    <w:rsid w:val="00B722F4"/>
    <w:rsid w:val="00B73631"/>
    <w:rsid w:val="00B73A73"/>
    <w:rsid w:val="00B75E1B"/>
    <w:rsid w:val="00B7686B"/>
    <w:rsid w:val="00B77374"/>
    <w:rsid w:val="00B804FF"/>
    <w:rsid w:val="00B814D2"/>
    <w:rsid w:val="00B81926"/>
    <w:rsid w:val="00B81A1F"/>
    <w:rsid w:val="00B83225"/>
    <w:rsid w:val="00B83264"/>
    <w:rsid w:val="00B8468B"/>
    <w:rsid w:val="00B846BD"/>
    <w:rsid w:val="00B85892"/>
    <w:rsid w:val="00B86420"/>
    <w:rsid w:val="00B87FB7"/>
    <w:rsid w:val="00B90619"/>
    <w:rsid w:val="00B90A8F"/>
    <w:rsid w:val="00B9158E"/>
    <w:rsid w:val="00B9186F"/>
    <w:rsid w:val="00B91B64"/>
    <w:rsid w:val="00B91BE7"/>
    <w:rsid w:val="00B92629"/>
    <w:rsid w:val="00B92F78"/>
    <w:rsid w:val="00B947AA"/>
    <w:rsid w:val="00B94809"/>
    <w:rsid w:val="00B94879"/>
    <w:rsid w:val="00B9599D"/>
    <w:rsid w:val="00B959BA"/>
    <w:rsid w:val="00B96125"/>
    <w:rsid w:val="00B964EA"/>
    <w:rsid w:val="00B96CFA"/>
    <w:rsid w:val="00BA052B"/>
    <w:rsid w:val="00BA0A5B"/>
    <w:rsid w:val="00BA10C3"/>
    <w:rsid w:val="00BA1241"/>
    <w:rsid w:val="00BA2E1D"/>
    <w:rsid w:val="00BA3287"/>
    <w:rsid w:val="00BA38F7"/>
    <w:rsid w:val="00BA3D28"/>
    <w:rsid w:val="00BA3FC8"/>
    <w:rsid w:val="00BA4020"/>
    <w:rsid w:val="00BA4047"/>
    <w:rsid w:val="00BA4A2A"/>
    <w:rsid w:val="00BA6BDE"/>
    <w:rsid w:val="00BA7DED"/>
    <w:rsid w:val="00BB00D6"/>
    <w:rsid w:val="00BB0D2B"/>
    <w:rsid w:val="00BB28D6"/>
    <w:rsid w:val="00BB2CF9"/>
    <w:rsid w:val="00BB37AE"/>
    <w:rsid w:val="00BB3A7F"/>
    <w:rsid w:val="00BB3C4C"/>
    <w:rsid w:val="00BB451A"/>
    <w:rsid w:val="00BB4539"/>
    <w:rsid w:val="00BB68F7"/>
    <w:rsid w:val="00BB74F9"/>
    <w:rsid w:val="00BB7570"/>
    <w:rsid w:val="00BB7D12"/>
    <w:rsid w:val="00BC03D8"/>
    <w:rsid w:val="00BC0860"/>
    <w:rsid w:val="00BC0F90"/>
    <w:rsid w:val="00BC3858"/>
    <w:rsid w:val="00BC3CA7"/>
    <w:rsid w:val="00BC44FA"/>
    <w:rsid w:val="00BC4E11"/>
    <w:rsid w:val="00BC5DAD"/>
    <w:rsid w:val="00BC612C"/>
    <w:rsid w:val="00BC6D19"/>
    <w:rsid w:val="00BC6E34"/>
    <w:rsid w:val="00BC710B"/>
    <w:rsid w:val="00BC73B2"/>
    <w:rsid w:val="00BD20EC"/>
    <w:rsid w:val="00BD210A"/>
    <w:rsid w:val="00BD39F3"/>
    <w:rsid w:val="00BD42F4"/>
    <w:rsid w:val="00BD5B07"/>
    <w:rsid w:val="00BD7F50"/>
    <w:rsid w:val="00BE0113"/>
    <w:rsid w:val="00BE19B8"/>
    <w:rsid w:val="00BE1A39"/>
    <w:rsid w:val="00BE40FA"/>
    <w:rsid w:val="00BE42CB"/>
    <w:rsid w:val="00BE4F58"/>
    <w:rsid w:val="00BE5095"/>
    <w:rsid w:val="00BE59E3"/>
    <w:rsid w:val="00BE5A80"/>
    <w:rsid w:val="00BF0539"/>
    <w:rsid w:val="00BF0B96"/>
    <w:rsid w:val="00BF0C26"/>
    <w:rsid w:val="00BF203A"/>
    <w:rsid w:val="00BF21C4"/>
    <w:rsid w:val="00BF26A6"/>
    <w:rsid w:val="00BF2C24"/>
    <w:rsid w:val="00BF4429"/>
    <w:rsid w:val="00BF49FF"/>
    <w:rsid w:val="00BF5A69"/>
    <w:rsid w:val="00C01102"/>
    <w:rsid w:val="00C026AA"/>
    <w:rsid w:val="00C03A73"/>
    <w:rsid w:val="00C03FF2"/>
    <w:rsid w:val="00C04015"/>
    <w:rsid w:val="00C040A3"/>
    <w:rsid w:val="00C05614"/>
    <w:rsid w:val="00C06785"/>
    <w:rsid w:val="00C07E9A"/>
    <w:rsid w:val="00C1025B"/>
    <w:rsid w:val="00C10895"/>
    <w:rsid w:val="00C11CCC"/>
    <w:rsid w:val="00C143FD"/>
    <w:rsid w:val="00C1509E"/>
    <w:rsid w:val="00C155ED"/>
    <w:rsid w:val="00C157F0"/>
    <w:rsid w:val="00C15F93"/>
    <w:rsid w:val="00C162C1"/>
    <w:rsid w:val="00C17E4E"/>
    <w:rsid w:val="00C21D6B"/>
    <w:rsid w:val="00C21FA2"/>
    <w:rsid w:val="00C222DD"/>
    <w:rsid w:val="00C2699F"/>
    <w:rsid w:val="00C26ED0"/>
    <w:rsid w:val="00C2702A"/>
    <w:rsid w:val="00C30EBA"/>
    <w:rsid w:val="00C31831"/>
    <w:rsid w:val="00C31EC3"/>
    <w:rsid w:val="00C321AE"/>
    <w:rsid w:val="00C32459"/>
    <w:rsid w:val="00C326E8"/>
    <w:rsid w:val="00C33F99"/>
    <w:rsid w:val="00C34406"/>
    <w:rsid w:val="00C34407"/>
    <w:rsid w:val="00C34905"/>
    <w:rsid w:val="00C35301"/>
    <w:rsid w:val="00C35427"/>
    <w:rsid w:val="00C35882"/>
    <w:rsid w:val="00C361C7"/>
    <w:rsid w:val="00C36C1B"/>
    <w:rsid w:val="00C37748"/>
    <w:rsid w:val="00C40508"/>
    <w:rsid w:val="00C4119E"/>
    <w:rsid w:val="00C4222C"/>
    <w:rsid w:val="00C42B94"/>
    <w:rsid w:val="00C44C4D"/>
    <w:rsid w:val="00C45548"/>
    <w:rsid w:val="00C47119"/>
    <w:rsid w:val="00C47EBF"/>
    <w:rsid w:val="00C50390"/>
    <w:rsid w:val="00C50587"/>
    <w:rsid w:val="00C5288F"/>
    <w:rsid w:val="00C52FF0"/>
    <w:rsid w:val="00C537C4"/>
    <w:rsid w:val="00C544C4"/>
    <w:rsid w:val="00C54915"/>
    <w:rsid w:val="00C54EDF"/>
    <w:rsid w:val="00C55982"/>
    <w:rsid w:val="00C56432"/>
    <w:rsid w:val="00C61E88"/>
    <w:rsid w:val="00C63059"/>
    <w:rsid w:val="00C63535"/>
    <w:rsid w:val="00C6360C"/>
    <w:rsid w:val="00C63B9A"/>
    <w:rsid w:val="00C64239"/>
    <w:rsid w:val="00C64F58"/>
    <w:rsid w:val="00C6556D"/>
    <w:rsid w:val="00C65C92"/>
    <w:rsid w:val="00C6621C"/>
    <w:rsid w:val="00C66B4E"/>
    <w:rsid w:val="00C66BA6"/>
    <w:rsid w:val="00C7071A"/>
    <w:rsid w:val="00C71A30"/>
    <w:rsid w:val="00C71A3B"/>
    <w:rsid w:val="00C723C5"/>
    <w:rsid w:val="00C74350"/>
    <w:rsid w:val="00C74685"/>
    <w:rsid w:val="00C748E1"/>
    <w:rsid w:val="00C74CF6"/>
    <w:rsid w:val="00C75193"/>
    <w:rsid w:val="00C830EF"/>
    <w:rsid w:val="00C83284"/>
    <w:rsid w:val="00C86D5D"/>
    <w:rsid w:val="00C8711D"/>
    <w:rsid w:val="00C8728B"/>
    <w:rsid w:val="00C87652"/>
    <w:rsid w:val="00C87B16"/>
    <w:rsid w:val="00C90AC3"/>
    <w:rsid w:val="00C91842"/>
    <w:rsid w:val="00C9277E"/>
    <w:rsid w:val="00C9374D"/>
    <w:rsid w:val="00C9410D"/>
    <w:rsid w:val="00C957E7"/>
    <w:rsid w:val="00C95BDE"/>
    <w:rsid w:val="00C95E92"/>
    <w:rsid w:val="00C9629B"/>
    <w:rsid w:val="00C973D0"/>
    <w:rsid w:val="00C976D2"/>
    <w:rsid w:val="00CA289D"/>
    <w:rsid w:val="00CA336D"/>
    <w:rsid w:val="00CA360B"/>
    <w:rsid w:val="00CA5EC4"/>
    <w:rsid w:val="00CB0596"/>
    <w:rsid w:val="00CB0EE5"/>
    <w:rsid w:val="00CB1568"/>
    <w:rsid w:val="00CB1726"/>
    <w:rsid w:val="00CB348A"/>
    <w:rsid w:val="00CB4292"/>
    <w:rsid w:val="00CB45F7"/>
    <w:rsid w:val="00CB5CA5"/>
    <w:rsid w:val="00CB6B52"/>
    <w:rsid w:val="00CB7A80"/>
    <w:rsid w:val="00CB7B87"/>
    <w:rsid w:val="00CB7E68"/>
    <w:rsid w:val="00CC0575"/>
    <w:rsid w:val="00CC0804"/>
    <w:rsid w:val="00CC1910"/>
    <w:rsid w:val="00CC1C1C"/>
    <w:rsid w:val="00CC20A9"/>
    <w:rsid w:val="00CC3347"/>
    <w:rsid w:val="00CC4066"/>
    <w:rsid w:val="00CC457E"/>
    <w:rsid w:val="00CC46E1"/>
    <w:rsid w:val="00CC4794"/>
    <w:rsid w:val="00CC4864"/>
    <w:rsid w:val="00CC5376"/>
    <w:rsid w:val="00CC54F9"/>
    <w:rsid w:val="00CC57E2"/>
    <w:rsid w:val="00CC5C7A"/>
    <w:rsid w:val="00CC6924"/>
    <w:rsid w:val="00CC7F37"/>
    <w:rsid w:val="00CC7FA9"/>
    <w:rsid w:val="00CD0469"/>
    <w:rsid w:val="00CD0A70"/>
    <w:rsid w:val="00CD10C0"/>
    <w:rsid w:val="00CD1DFB"/>
    <w:rsid w:val="00CD2D16"/>
    <w:rsid w:val="00CD3E9D"/>
    <w:rsid w:val="00CD4495"/>
    <w:rsid w:val="00CD5D97"/>
    <w:rsid w:val="00CD65FC"/>
    <w:rsid w:val="00CD70FA"/>
    <w:rsid w:val="00CD76EF"/>
    <w:rsid w:val="00CD7E60"/>
    <w:rsid w:val="00CD7F73"/>
    <w:rsid w:val="00CE0262"/>
    <w:rsid w:val="00CE0A19"/>
    <w:rsid w:val="00CE0C28"/>
    <w:rsid w:val="00CE0C69"/>
    <w:rsid w:val="00CE21ED"/>
    <w:rsid w:val="00CE36AB"/>
    <w:rsid w:val="00CE5325"/>
    <w:rsid w:val="00CE6DB6"/>
    <w:rsid w:val="00CE720B"/>
    <w:rsid w:val="00CE741C"/>
    <w:rsid w:val="00CF0EB5"/>
    <w:rsid w:val="00CF4716"/>
    <w:rsid w:val="00CF5484"/>
    <w:rsid w:val="00CF5750"/>
    <w:rsid w:val="00CF669B"/>
    <w:rsid w:val="00CF6751"/>
    <w:rsid w:val="00CF75F7"/>
    <w:rsid w:val="00D002D6"/>
    <w:rsid w:val="00D02B0D"/>
    <w:rsid w:val="00D02BA4"/>
    <w:rsid w:val="00D0320D"/>
    <w:rsid w:val="00D03790"/>
    <w:rsid w:val="00D0383D"/>
    <w:rsid w:val="00D04F24"/>
    <w:rsid w:val="00D05CFB"/>
    <w:rsid w:val="00D0603A"/>
    <w:rsid w:val="00D06F48"/>
    <w:rsid w:val="00D139BC"/>
    <w:rsid w:val="00D13BDB"/>
    <w:rsid w:val="00D15AE4"/>
    <w:rsid w:val="00D162DE"/>
    <w:rsid w:val="00D17953"/>
    <w:rsid w:val="00D17ECD"/>
    <w:rsid w:val="00D21768"/>
    <w:rsid w:val="00D217C7"/>
    <w:rsid w:val="00D230FC"/>
    <w:rsid w:val="00D237DD"/>
    <w:rsid w:val="00D238E9"/>
    <w:rsid w:val="00D2477F"/>
    <w:rsid w:val="00D25791"/>
    <w:rsid w:val="00D26787"/>
    <w:rsid w:val="00D301A7"/>
    <w:rsid w:val="00D301B7"/>
    <w:rsid w:val="00D30445"/>
    <w:rsid w:val="00D30F7B"/>
    <w:rsid w:val="00D312CD"/>
    <w:rsid w:val="00D32F9D"/>
    <w:rsid w:val="00D34260"/>
    <w:rsid w:val="00D352FB"/>
    <w:rsid w:val="00D3539E"/>
    <w:rsid w:val="00D3576B"/>
    <w:rsid w:val="00D369DC"/>
    <w:rsid w:val="00D36F71"/>
    <w:rsid w:val="00D37EB8"/>
    <w:rsid w:val="00D37EC7"/>
    <w:rsid w:val="00D407BD"/>
    <w:rsid w:val="00D40A9A"/>
    <w:rsid w:val="00D410FC"/>
    <w:rsid w:val="00D426DC"/>
    <w:rsid w:val="00D4280D"/>
    <w:rsid w:val="00D443C9"/>
    <w:rsid w:val="00D46706"/>
    <w:rsid w:val="00D46DA8"/>
    <w:rsid w:val="00D50F63"/>
    <w:rsid w:val="00D51A16"/>
    <w:rsid w:val="00D52711"/>
    <w:rsid w:val="00D52AFB"/>
    <w:rsid w:val="00D52EFA"/>
    <w:rsid w:val="00D53C0E"/>
    <w:rsid w:val="00D546EC"/>
    <w:rsid w:val="00D54DB4"/>
    <w:rsid w:val="00D54E0F"/>
    <w:rsid w:val="00D55285"/>
    <w:rsid w:val="00D5531F"/>
    <w:rsid w:val="00D55427"/>
    <w:rsid w:val="00D55571"/>
    <w:rsid w:val="00D55877"/>
    <w:rsid w:val="00D558EA"/>
    <w:rsid w:val="00D55C4B"/>
    <w:rsid w:val="00D560D4"/>
    <w:rsid w:val="00D56950"/>
    <w:rsid w:val="00D57FBF"/>
    <w:rsid w:val="00D60317"/>
    <w:rsid w:val="00D60BA3"/>
    <w:rsid w:val="00D614CE"/>
    <w:rsid w:val="00D61522"/>
    <w:rsid w:val="00D62485"/>
    <w:rsid w:val="00D63390"/>
    <w:rsid w:val="00D64957"/>
    <w:rsid w:val="00D658CE"/>
    <w:rsid w:val="00D67315"/>
    <w:rsid w:val="00D70F5F"/>
    <w:rsid w:val="00D71467"/>
    <w:rsid w:val="00D71716"/>
    <w:rsid w:val="00D72BD2"/>
    <w:rsid w:val="00D7355F"/>
    <w:rsid w:val="00D73C04"/>
    <w:rsid w:val="00D75EE0"/>
    <w:rsid w:val="00D76D99"/>
    <w:rsid w:val="00D7792F"/>
    <w:rsid w:val="00D77EB7"/>
    <w:rsid w:val="00D819D0"/>
    <w:rsid w:val="00D82BE2"/>
    <w:rsid w:val="00D83B37"/>
    <w:rsid w:val="00D83DAD"/>
    <w:rsid w:val="00D83E2D"/>
    <w:rsid w:val="00D8482B"/>
    <w:rsid w:val="00D84E3C"/>
    <w:rsid w:val="00D850F2"/>
    <w:rsid w:val="00D85CC7"/>
    <w:rsid w:val="00D86499"/>
    <w:rsid w:val="00D87249"/>
    <w:rsid w:val="00D8795C"/>
    <w:rsid w:val="00D9064E"/>
    <w:rsid w:val="00D90CDE"/>
    <w:rsid w:val="00D91188"/>
    <w:rsid w:val="00D914C1"/>
    <w:rsid w:val="00D915DB"/>
    <w:rsid w:val="00D9303F"/>
    <w:rsid w:val="00D952B4"/>
    <w:rsid w:val="00D97ADF"/>
    <w:rsid w:val="00DA0BD0"/>
    <w:rsid w:val="00DA0D29"/>
    <w:rsid w:val="00DA236B"/>
    <w:rsid w:val="00DA2723"/>
    <w:rsid w:val="00DA36D7"/>
    <w:rsid w:val="00DA36DC"/>
    <w:rsid w:val="00DA395F"/>
    <w:rsid w:val="00DA64B3"/>
    <w:rsid w:val="00DB04BB"/>
    <w:rsid w:val="00DB153D"/>
    <w:rsid w:val="00DB1905"/>
    <w:rsid w:val="00DB279E"/>
    <w:rsid w:val="00DB3124"/>
    <w:rsid w:val="00DB322C"/>
    <w:rsid w:val="00DB3509"/>
    <w:rsid w:val="00DB4065"/>
    <w:rsid w:val="00DB4F8B"/>
    <w:rsid w:val="00DB5D79"/>
    <w:rsid w:val="00DB5FF9"/>
    <w:rsid w:val="00DB649C"/>
    <w:rsid w:val="00DB724E"/>
    <w:rsid w:val="00DB79A0"/>
    <w:rsid w:val="00DC0603"/>
    <w:rsid w:val="00DC171A"/>
    <w:rsid w:val="00DC17FA"/>
    <w:rsid w:val="00DC30F3"/>
    <w:rsid w:val="00DC310D"/>
    <w:rsid w:val="00DC3B08"/>
    <w:rsid w:val="00DC4005"/>
    <w:rsid w:val="00DC4C2C"/>
    <w:rsid w:val="00DC65D7"/>
    <w:rsid w:val="00DC689E"/>
    <w:rsid w:val="00DD0A14"/>
    <w:rsid w:val="00DD1970"/>
    <w:rsid w:val="00DD21EA"/>
    <w:rsid w:val="00DD2390"/>
    <w:rsid w:val="00DD2580"/>
    <w:rsid w:val="00DD3EE4"/>
    <w:rsid w:val="00DD4437"/>
    <w:rsid w:val="00DD5F84"/>
    <w:rsid w:val="00DD7A5D"/>
    <w:rsid w:val="00DD7AFF"/>
    <w:rsid w:val="00DD7E18"/>
    <w:rsid w:val="00DE1B43"/>
    <w:rsid w:val="00DE27FB"/>
    <w:rsid w:val="00DE29E2"/>
    <w:rsid w:val="00DE3186"/>
    <w:rsid w:val="00DE3E83"/>
    <w:rsid w:val="00DE4624"/>
    <w:rsid w:val="00DE4B15"/>
    <w:rsid w:val="00DE56E8"/>
    <w:rsid w:val="00DE6261"/>
    <w:rsid w:val="00DE6546"/>
    <w:rsid w:val="00DE667E"/>
    <w:rsid w:val="00DE6D78"/>
    <w:rsid w:val="00DE7153"/>
    <w:rsid w:val="00DE783B"/>
    <w:rsid w:val="00DE7A44"/>
    <w:rsid w:val="00DF011A"/>
    <w:rsid w:val="00DF36FA"/>
    <w:rsid w:val="00DF420E"/>
    <w:rsid w:val="00DF451D"/>
    <w:rsid w:val="00DF4DB1"/>
    <w:rsid w:val="00DF5771"/>
    <w:rsid w:val="00DF5B58"/>
    <w:rsid w:val="00DF71BD"/>
    <w:rsid w:val="00DF74DA"/>
    <w:rsid w:val="00DF7F6F"/>
    <w:rsid w:val="00E00128"/>
    <w:rsid w:val="00E00D24"/>
    <w:rsid w:val="00E01D52"/>
    <w:rsid w:val="00E02AF1"/>
    <w:rsid w:val="00E02F1E"/>
    <w:rsid w:val="00E03222"/>
    <w:rsid w:val="00E032D3"/>
    <w:rsid w:val="00E03C0D"/>
    <w:rsid w:val="00E04E26"/>
    <w:rsid w:val="00E05232"/>
    <w:rsid w:val="00E05D52"/>
    <w:rsid w:val="00E0636D"/>
    <w:rsid w:val="00E06F72"/>
    <w:rsid w:val="00E0754B"/>
    <w:rsid w:val="00E10775"/>
    <w:rsid w:val="00E10A8B"/>
    <w:rsid w:val="00E11249"/>
    <w:rsid w:val="00E114BF"/>
    <w:rsid w:val="00E124B1"/>
    <w:rsid w:val="00E12D7F"/>
    <w:rsid w:val="00E1406C"/>
    <w:rsid w:val="00E1428B"/>
    <w:rsid w:val="00E144B4"/>
    <w:rsid w:val="00E15186"/>
    <w:rsid w:val="00E15C1D"/>
    <w:rsid w:val="00E1677A"/>
    <w:rsid w:val="00E177FE"/>
    <w:rsid w:val="00E203A9"/>
    <w:rsid w:val="00E2124B"/>
    <w:rsid w:val="00E214E8"/>
    <w:rsid w:val="00E2167B"/>
    <w:rsid w:val="00E23224"/>
    <w:rsid w:val="00E23A40"/>
    <w:rsid w:val="00E23A6E"/>
    <w:rsid w:val="00E2513C"/>
    <w:rsid w:val="00E25597"/>
    <w:rsid w:val="00E25FF4"/>
    <w:rsid w:val="00E27319"/>
    <w:rsid w:val="00E3014E"/>
    <w:rsid w:val="00E3133F"/>
    <w:rsid w:val="00E33089"/>
    <w:rsid w:val="00E333D1"/>
    <w:rsid w:val="00E34191"/>
    <w:rsid w:val="00E343C1"/>
    <w:rsid w:val="00E3510C"/>
    <w:rsid w:val="00E35B55"/>
    <w:rsid w:val="00E368DC"/>
    <w:rsid w:val="00E36D64"/>
    <w:rsid w:val="00E37810"/>
    <w:rsid w:val="00E40233"/>
    <w:rsid w:val="00E409D0"/>
    <w:rsid w:val="00E41537"/>
    <w:rsid w:val="00E41653"/>
    <w:rsid w:val="00E41A43"/>
    <w:rsid w:val="00E42BF2"/>
    <w:rsid w:val="00E44628"/>
    <w:rsid w:val="00E4524A"/>
    <w:rsid w:val="00E45338"/>
    <w:rsid w:val="00E457C2"/>
    <w:rsid w:val="00E45DF8"/>
    <w:rsid w:val="00E46E2E"/>
    <w:rsid w:val="00E47CD7"/>
    <w:rsid w:val="00E50AF9"/>
    <w:rsid w:val="00E5229E"/>
    <w:rsid w:val="00E53C3D"/>
    <w:rsid w:val="00E543A4"/>
    <w:rsid w:val="00E552E5"/>
    <w:rsid w:val="00E558E2"/>
    <w:rsid w:val="00E55EF3"/>
    <w:rsid w:val="00E56763"/>
    <w:rsid w:val="00E56FC9"/>
    <w:rsid w:val="00E5746E"/>
    <w:rsid w:val="00E60F61"/>
    <w:rsid w:val="00E60FF6"/>
    <w:rsid w:val="00E61FEF"/>
    <w:rsid w:val="00E62979"/>
    <w:rsid w:val="00E63463"/>
    <w:rsid w:val="00E63493"/>
    <w:rsid w:val="00E63FC8"/>
    <w:rsid w:val="00E64B6D"/>
    <w:rsid w:val="00E64DF9"/>
    <w:rsid w:val="00E65897"/>
    <w:rsid w:val="00E662E7"/>
    <w:rsid w:val="00E66CC0"/>
    <w:rsid w:val="00E66E29"/>
    <w:rsid w:val="00E67B28"/>
    <w:rsid w:val="00E700D3"/>
    <w:rsid w:val="00E70121"/>
    <w:rsid w:val="00E70700"/>
    <w:rsid w:val="00E71059"/>
    <w:rsid w:val="00E721FC"/>
    <w:rsid w:val="00E72C20"/>
    <w:rsid w:val="00E73006"/>
    <w:rsid w:val="00E731B2"/>
    <w:rsid w:val="00E749B2"/>
    <w:rsid w:val="00E76225"/>
    <w:rsid w:val="00E76784"/>
    <w:rsid w:val="00E77AFA"/>
    <w:rsid w:val="00E77C5F"/>
    <w:rsid w:val="00E77D7D"/>
    <w:rsid w:val="00E80A65"/>
    <w:rsid w:val="00E80C47"/>
    <w:rsid w:val="00E814BB"/>
    <w:rsid w:val="00E8200D"/>
    <w:rsid w:val="00E83A59"/>
    <w:rsid w:val="00E83B66"/>
    <w:rsid w:val="00E8689A"/>
    <w:rsid w:val="00E86D46"/>
    <w:rsid w:val="00E87473"/>
    <w:rsid w:val="00E876DC"/>
    <w:rsid w:val="00E87B05"/>
    <w:rsid w:val="00E906F9"/>
    <w:rsid w:val="00E90D51"/>
    <w:rsid w:val="00E9222D"/>
    <w:rsid w:val="00E92965"/>
    <w:rsid w:val="00E93555"/>
    <w:rsid w:val="00E937D4"/>
    <w:rsid w:val="00E93A7F"/>
    <w:rsid w:val="00E93EF5"/>
    <w:rsid w:val="00E95A92"/>
    <w:rsid w:val="00E96590"/>
    <w:rsid w:val="00EA1642"/>
    <w:rsid w:val="00EA1D95"/>
    <w:rsid w:val="00EA27E8"/>
    <w:rsid w:val="00EA33FD"/>
    <w:rsid w:val="00EA5507"/>
    <w:rsid w:val="00EA59DE"/>
    <w:rsid w:val="00EA798B"/>
    <w:rsid w:val="00EA7E75"/>
    <w:rsid w:val="00EB01E9"/>
    <w:rsid w:val="00EB072E"/>
    <w:rsid w:val="00EB0D91"/>
    <w:rsid w:val="00EB1A5B"/>
    <w:rsid w:val="00EB363F"/>
    <w:rsid w:val="00EB3BE5"/>
    <w:rsid w:val="00EB5FDC"/>
    <w:rsid w:val="00EB79E3"/>
    <w:rsid w:val="00EC0D3C"/>
    <w:rsid w:val="00EC109C"/>
    <w:rsid w:val="00EC26C2"/>
    <w:rsid w:val="00EC3508"/>
    <w:rsid w:val="00EC3A77"/>
    <w:rsid w:val="00EC5016"/>
    <w:rsid w:val="00EC57A4"/>
    <w:rsid w:val="00EC5CDB"/>
    <w:rsid w:val="00EC6B94"/>
    <w:rsid w:val="00EC6F93"/>
    <w:rsid w:val="00EC77B8"/>
    <w:rsid w:val="00EC7C46"/>
    <w:rsid w:val="00ED0A9C"/>
    <w:rsid w:val="00ED1B17"/>
    <w:rsid w:val="00ED1B8D"/>
    <w:rsid w:val="00ED1DDE"/>
    <w:rsid w:val="00ED24DB"/>
    <w:rsid w:val="00ED2834"/>
    <w:rsid w:val="00ED2E9F"/>
    <w:rsid w:val="00ED4159"/>
    <w:rsid w:val="00ED48BE"/>
    <w:rsid w:val="00ED4A2D"/>
    <w:rsid w:val="00ED4DF4"/>
    <w:rsid w:val="00ED5936"/>
    <w:rsid w:val="00ED5A4B"/>
    <w:rsid w:val="00ED6476"/>
    <w:rsid w:val="00ED6928"/>
    <w:rsid w:val="00ED697D"/>
    <w:rsid w:val="00ED6FA9"/>
    <w:rsid w:val="00EE09B0"/>
    <w:rsid w:val="00EE127D"/>
    <w:rsid w:val="00EE134C"/>
    <w:rsid w:val="00EE13FC"/>
    <w:rsid w:val="00EE32B3"/>
    <w:rsid w:val="00EE41AC"/>
    <w:rsid w:val="00EE46DF"/>
    <w:rsid w:val="00EE6422"/>
    <w:rsid w:val="00EE6529"/>
    <w:rsid w:val="00EE734C"/>
    <w:rsid w:val="00EE7EE1"/>
    <w:rsid w:val="00EF02F2"/>
    <w:rsid w:val="00EF0A99"/>
    <w:rsid w:val="00EF0E22"/>
    <w:rsid w:val="00EF218C"/>
    <w:rsid w:val="00EF31EB"/>
    <w:rsid w:val="00EF419D"/>
    <w:rsid w:val="00EF455E"/>
    <w:rsid w:val="00EF48E0"/>
    <w:rsid w:val="00EF4E37"/>
    <w:rsid w:val="00EF5D8A"/>
    <w:rsid w:val="00EF6613"/>
    <w:rsid w:val="00EF7E01"/>
    <w:rsid w:val="00F01C43"/>
    <w:rsid w:val="00F02632"/>
    <w:rsid w:val="00F03E63"/>
    <w:rsid w:val="00F0416D"/>
    <w:rsid w:val="00F0479C"/>
    <w:rsid w:val="00F04C49"/>
    <w:rsid w:val="00F0548C"/>
    <w:rsid w:val="00F0548E"/>
    <w:rsid w:val="00F05B16"/>
    <w:rsid w:val="00F05C9C"/>
    <w:rsid w:val="00F06AD5"/>
    <w:rsid w:val="00F06C78"/>
    <w:rsid w:val="00F070BA"/>
    <w:rsid w:val="00F07A41"/>
    <w:rsid w:val="00F07FC6"/>
    <w:rsid w:val="00F10416"/>
    <w:rsid w:val="00F10BE9"/>
    <w:rsid w:val="00F10C26"/>
    <w:rsid w:val="00F11240"/>
    <w:rsid w:val="00F12556"/>
    <w:rsid w:val="00F1288B"/>
    <w:rsid w:val="00F12DDA"/>
    <w:rsid w:val="00F13144"/>
    <w:rsid w:val="00F13851"/>
    <w:rsid w:val="00F1388E"/>
    <w:rsid w:val="00F1500A"/>
    <w:rsid w:val="00F15937"/>
    <w:rsid w:val="00F20850"/>
    <w:rsid w:val="00F20AB1"/>
    <w:rsid w:val="00F21D57"/>
    <w:rsid w:val="00F22162"/>
    <w:rsid w:val="00F224AD"/>
    <w:rsid w:val="00F236CB"/>
    <w:rsid w:val="00F249CD"/>
    <w:rsid w:val="00F25262"/>
    <w:rsid w:val="00F25427"/>
    <w:rsid w:val="00F259B2"/>
    <w:rsid w:val="00F25C5C"/>
    <w:rsid w:val="00F2624D"/>
    <w:rsid w:val="00F269B8"/>
    <w:rsid w:val="00F364EC"/>
    <w:rsid w:val="00F37148"/>
    <w:rsid w:val="00F377FF"/>
    <w:rsid w:val="00F3787B"/>
    <w:rsid w:val="00F37BD2"/>
    <w:rsid w:val="00F37CF7"/>
    <w:rsid w:val="00F41FF4"/>
    <w:rsid w:val="00F4350B"/>
    <w:rsid w:val="00F438AC"/>
    <w:rsid w:val="00F441DE"/>
    <w:rsid w:val="00F45BF2"/>
    <w:rsid w:val="00F45FC7"/>
    <w:rsid w:val="00F46E06"/>
    <w:rsid w:val="00F476F5"/>
    <w:rsid w:val="00F545CC"/>
    <w:rsid w:val="00F55080"/>
    <w:rsid w:val="00F5526B"/>
    <w:rsid w:val="00F55C05"/>
    <w:rsid w:val="00F56156"/>
    <w:rsid w:val="00F578B6"/>
    <w:rsid w:val="00F57951"/>
    <w:rsid w:val="00F60141"/>
    <w:rsid w:val="00F60917"/>
    <w:rsid w:val="00F60F7F"/>
    <w:rsid w:val="00F61DF1"/>
    <w:rsid w:val="00F624FD"/>
    <w:rsid w:val="00F62930"/>
    <w:rsid w:val="00F632D3"/>
    <w:rsid w:val="00F646BB"/>
    <w:rsid w:val="00F649AD"/>
    <w:rsid w:val="00F65CB2"/>
    <w:rsid w:val="00F65CB6"/>
    <w:rsid w:val="00F668AC"/>
    <w:rsid w:val="00F671C1"/>
    <w:rsid w:val="00F671E4"/>
    <w:rsid w:val="00F67CB7"/>
    <w:rsid w:val="00F71901"/>
    <w:rsid w:val="00F7257B"/>
    <w:rsid w:val="00F730C3"/>
    <w:rsid w:val="00F73442"/>
    <w:rsid w:val="00F7490E"/>
    <w:rsid w:val="00F75261"/>
    <w:rsid w:val="00F75894"/>
    <w:rsid w:val="00F76034"/>
    <w:rsid w:val="00F81597"/>
    <w:rsid w:val="00F816B3"/>
    <w:rsid w:val="00F81F09"/>
    <w:rsid w:val="00F82D41"/>
    <w:rsid w:val="00F82DBA"/>
    <w:rsid w:val="00F83B4B"/>
    <w:rsid w:val="00F83C34"/>
    <w:rsid w:val="00F84D92"/>
    <w:rsid w:val="00F8516D"/>
    <w:rsid w:val="00F8524F"/>
    <w:rsid w:val="00F85CCE"/>
    <w:rsid w:val="00F85ED0"/>
    <w:rsid w:val="00F90B8B"/>
    <w:rsid w:val="00F91DF0"/>
    <w:rsid w:val="00F92BE2"/>
    <w:rsid w:val="00F93C76"/>
    <w:rsid w:val="00F93D30"/>
    <w:rsid w:val="00FA0F03"/>
    <w:rsid w:val="00FA2889"/>
    <w:rsid w:val="00FA2BC2"/>
    <w:rsid w:val="00FA36B5"/>
    <w:rsid w:val="00FA3924"/>
    <w:rsid w:val="00FA425E"/>
    <w:rsid w:val="00FA7797"/>
    <w:rsid w:val="00FB07BE"/>
    <w:rsid w:val="00FB12A4"/>
    <w:rsid w:val="00FB249F"/>
    <w:rsid w:val="00FB3AE3"/>
    <w:rsid w:val="00FB4A73"/>
    <w:rsid w:val="00FB7A39"/>
    <w:rsid w:val="00FC034C"/>
    <w:rsid w:val="00FC0BF7"/>
    <w:rsid w:val="00FC3CF6"/>
    <w:rsid w:val="00FC3DF1"/>
    <w:rsid w:val="00FC52E6"/>
    <w:rsid w:val="00FC60E1"/>
    <w:rsid w:val="00FC6CF8"/>
    <w:rsid w:val="00FC6DFD"/>
    <w:rsid w:val="00FC7049"/>
    <w:rsid w:val="00FD0217"/>
    <w:rsid w:val="00FD02BF"/>
    <w:rsid w:val="00FD04B1"/>
    <w:rsid w:val="00FD1766"/>
    <w:rsid w:val="00FD31BB"/>
    <w:rsid w:val="00FD3669"/>
    <w:rsid w:val="00FD3C14"/>
    <w:rsid w:val="00FD5CCE"/>
    <w:rsid w:val="00FD5E1E"/>
    <w:rsid w:val="00FD5E97"/>
    <w:rsid w:val="00FD68BB"/>
    <w:rsid w:val="00FD7F94"/>
    <w:rsid w:val="00FE0FCF"/>
    <w:rsid w:val="00FE185A"/>
    <w:rsid w:val="00FE1DEF"/>
    <w:rsid w:val="00FE22F9"/>
    <w:rsid w:val="00FE3F94"/>
    <w:rsid w:val="00FE44C1"/>
    <w:rsid w:val="00FE47EA"/>
    <w:rsid w:val="00FE5A98"/>
    <w:rsid w:val="00FE63D5"/>
    <w:rsid w:val="00FE747C"/>
    <w:rsid w:val="00FE74F2"/>
    <w:rsid w:val="00FE7A73"/>
    <w:rsid w:val="00FF0B7F"/>
    <w:rsid w:val="00FF0D2D"/>
    <w:rsid w:val="00FF0F02"/>
    <w:rsid w:val="00FF1DD5"/>
    <w:rsid w:val="00FF21DB"/>
    <w:rsid w:val="00FF2229"/>
    <w:rsid w:val="00FF22DF"/>
    <w:rsid w:val="00FF41BD"/>
    <w:rsid w:val="00FF4690"/>
    <w:rsid w:val="00FF4DCD"/>
    <w:rsid w:val="00FF50B2"/>
    <w:rsid w:val="00FF6700"/>
    <w:rsid w:val="00FF7201"/>
    <w:rsid w:val="00FF786D"/>
    <w:rsid w:val="00FF7FC1"/>
    <w:rsid w:val="01556782"/>
    <w:rsid w:val="01DCF885"/>
    <w:rsid w:val="0269D3C7"/>
    <w:rsid w:val="028038A9"/>
    <w:rsid w:val="033196D6"/>
    <w:rsid w:val="03393E40"/>
    <w:rsid w:val="0358F139"/>
    <w:rsid w:val="03B7AC67"/>
    <w:rsid w:val="03BC8403"/>
    <w:rsid w:val="03C9DA45"/>
    <w:rsid w:val="04156C53"/>
    <w:rsid w:val="042DBB0D"/>
    <w:rsid w:val="0493FC2B"/>
    <w:rsid w:val="0520995C"/>
    <w:rsid w:val="053D001E"/>
    <w:rsid w:val="05B13CB4"/>
    <w:rsid w:val="05EF63BB"/>
    <w:rsid w:val="0602B787"/>
    <w:rsid w:val="0667C2E1"/>
    <w:rsid w:val="06D6495F"/>
    <w:rsid w:val="074293A0"/>
    <w:rsid w:val="079C8BD8"/>
    <w:rsid w:val="083ADBA7"/>
    <w:rsid w:val="0842DDBE"/>
    <w:rsid w:val="0880BB83"/>
    <w:rsid w:val="088F0C05"/>
    <w:rsid w:val="08DD61F6"/>
    <w:rsid w:val="08E8BAC6"/>
    <w:rsid w:val="094144CF"/>
    <w:rsid w:val="0A941959"/>
    <w:rsid w:val="0A972E33"/>
    <w:rsid w:val="0AA57613"/>
    <w:rsid w:val="0ABFEA3C"/>
    <w:rsid w:val="0B02A8EA"/>
    <w:rsid w:val="0B1229E8"/>
    <w:rsid w:val="0B3335F7"/>
    <w:rsid w:val="0B413E46"/>
    <w:rsid w:val="0C011328"/>
    <w:rsid w:val="0C132AF0"/>
    <w:rsid w:val="0C217018"/>
    <w:rsid w:val="0C7C37E3"/>
    <w:rsid w:val="0CBCB9A4"/>
    <w:rsid w:val="0D3D0C5E"/>
    <w:rsid w:val="0D4FAF91"/>
    <w:rsid w:val="0E004969"/>
    <w:rsid w:val="0EE46C23"/>
    <w:rsid w:val="0F364441"/>
    <w:rsid w:val="0F622692"/>
    <w:rsid w:val="0F7B7496"/>
    <w:rsid w:val="0F988488"/>
    <w:rsid w:val="0FDDF9E2"/>
    <w:rsid w:val="10CBC73F"/>
    <w:rsid w:val="10CE6367"/>
    <w:rsid w:val="1128A319"/>
    <w:rsid w:val="1174C7DA"/>
    <w:rsid w:val="11FE7849"/>
    <w:rsid w:val="1289E204"/>
    <w:rsid w:val="12B0AFCB"/>
    <w:rsid w:val="12D1809F"/>
    <w:rsid w:val="134D5A6E"/>
    <w:rsid w:val="13BD0E5E"/>
    <w:rsid w:val="14664D4C"/>
    <w:rsid w:val="146B1339"/>
    <w:rsid w:val="14EA4AF2"/>
    <w:rsid w:val="14F1656C"/>
    <w:rsid w:val="14FBBEA8"/>
    <w:rsid w:val="1528AD59"/>
    <w:rsid w:val="15770CCB"/>
    <w:rsid w:val="15773AD3"/>
    <w:rsid w:val="15945F55"/>
    <w:rsid w:val="16332192"/>
    <w:rsid w:val="16AE024B"/>
    <w:rsid w:val="16E28478"/>
    <w:rsid w:val="17F1AA5C"/>
    <w:rsid w:val="181507B3"/>
    <w:rsid w:val="184856CA"/>
    <w:rsid w:val="18EBD962"/>
    <w:rsid w:val="198F06E2"/>
    <w:rsid w:val="1A7DF0FA"/>
    <w:rsid w:val="1A9193DB"/>
    <w:rsid w:val="1B3F4E9C"/>
    <w:rsid w:val="1BEC0AF1"/>
    <w:rsid w:val="1BF0BD75"/>
    <w:rsid w:val="1BF26396"/>
    <w:rsid w:val="1C0BE842"/>
    <w:rsid w:val="1C3D7BF0"/>
    <w:rsid w:val="1C93E7AB"/>
    <w:rsid w:val="1CBDDC5B"/>
    <w:rsid w:val="1EB4C207"/>
    <w:rsid w:val="1EBC787B"/>
    <w:rsid w:val="1F098954"/>
    <w:rsid w:val="1F729420"/>
    <w:rsid w:val="1F7D20DC"/>
    <w:rsid w:val="20F01016"/>
    <w:rsid w:val="211200AB"/>
    <w:rsid w:val="21C542AB"/>
    <w:rsid w:val="2249E0EA"/>
    <w:rsid w:val="2278EDF1"/>
    <w:rsid w:val="229335DB"/>
    <w:rsid w:val="23104FFF"/>
    <w:rsid w:val="23A81F38"/>
    <w:rsid w:val="240ECC9C"/>
    <w:rsid w:val="245F0041"/>
    <w:rsid w:val="2499B263"/>
    <w:rsid w:val="2612581A"/>
    <w:rsid w:val="267F8BA3"/>
    <w:rsid w:val="2692DA0C"/>
    <w:rsid w:val="26F7E6FD"/>
    <w:rsid w:val="270750DE"/>
    <w:rsid w:val="27C4B457"/>
    <w:rsid w:val="27E0DD75"/>
    <w:rsid w:val="28E95146"/>
    <w:rsid w:val="2989FDCF"/>
    <w:rsid w:val="29D648DD"/>
    <w:rsid w:val="2A2FAF07"/>
    <w:rsid w:val="2A83E529"/>
    <w:rsid w:val="2AEB645B"/>
    <w:rsid w:val="2B68035F"/>
    <w:rsid w:val="2BB03651"/>
    <w:rsid w:val="2C0A0DB9"/>
    <w:rsid w:val="2C4E373E"/>
    <w:rsid w:val="2C73389D"/>
    <w:rsid w:val="2D3B1C90"/>
    <w:rsid w:val="2D3D617D"/>
    <w:rsid w:val="2DD7BC7F"/>
    <w:rsid w:val="2E497E1F"/>
    <w:rsid w:val="2E78F7C1"/>
    <w:rsid w:val="2EE2E2D1"/>
    <w:rsid w:val="2F6A4F86"/>
    <w:rsid w:val="2FA1A6DB"/>
    <w:rsid w:val="2FD64C30"/>
    <w:rsid w:val="30067279"/>
    <w:rsid w:val="30E3E5E1"/>
    <w:rsid w:val="311CD403"/>
    <w:rsid w:val="313A247D"/>
    <w:rsid w:val="325B3278"/>
    <w:rsid w:val="328B922A"/>
    <w:rsid w:val="32FE0470"/>
    <w:rsid w:val="3395B075"/>
    <w:rsid w:val="33CBCE6C"/>
    <w:rsid w:val="33CCEA36"/>
    <w:rsid w:val="34601A84"/>
    <w:rsid w:val="34607EC7"/>
    <w:rsid w:val="346DB0A7"/>
    <w:rsid w:val="34787707"/>
    <w:rsid w:val="351C62B9"/>
    <w:rsid w:val="358764A9"/>
    <w:rsid w:val="35C7DBC1"/>
    <w:rsid w:val="3606D760"/>
    <w:rsid w:val="36820ACA"/>
    <w:rsid w:val="371E6D62"/>
    <w:rsid w:val="37204CD7"/>
    <w:rsid w:val="37631858"/>
    <w:rsid w:val="37726B9A"/>
    <w:rsid w:val="37BA0230"/>
    <w:rsid w:val="382FBFE1"/>
    <w:rsid w:val="38361323"/>
    <w:rsid w:val="3872008F"/>
    <w:rsid w:val="388CC8ED"/>
    <w:rsid w:val="38F59C48"/>
    <w:rsid w:val="39020536"/>
    <w:rsid w:val="3932B43D"/>
    <w:rsid w:val="393A176C"/>
    <w:rsid w:val="39DBA5D8"/>
    <w:rsid w:val="39F335BF"/>
    <w:rsid w:val="3AEA3FE0"/>
    <w:rsid w:val="3AF3C8A5"/>
    <w:rsid w:val="3B3F2142"/>
    <w:rsid w:val="3B5491E2"/>
    <w:rsid w:val="3C1C8991"/>
    <w:rsid w:val="3C25A8A2"/>
    <w:rsid w:val="3D6DFF24"/>
    <w:rsid w:val="3DC4543F"/>
    <w:rsid w:val="3E77FE92"/>
    <w:rsid w:val="3E7E5D6A"/>
    <w:rsid w:val="3EA7556B"/>
    <w:rsid w:val="3F108E1B"/>
    <w:rsid w:val="3F178DE1"/>
    <w:rsid w:val="3F355378"/>
    <w:rsid w:val="3F3F4663"/>
    <w:rsid w:val="3FFF0CB3"/>
    <w:rsid w:val="4045B5C1"/>
    <w:rsid w:val="408B9048"/>
    <w:rsid w:val="40943792"/>
    <w:rsid w:val="40C5710D"/>
    <w:rsid w:val="40F9736E"/>
    <w:rsid w:val="41179457"/>
    <w:rsid w:val="4119BCC8"/>
    <w:rsid w:val="4181369B"/>
    <w:rsid w:val="4193BA54"/>
    <w:rsid w:val="4209F969"/>
    <w:rsid w:val="42DE3C9D"/>
    <w:rsid w:val="42E3679C"/>
    <w:rsid w:val="432F8AB5"/>
    <w:rsid w:val="43AA09FE"/>
    <w:rsid w:val="4407C291"/>
    <w:rsid w:val="442DE928"/>
    <w:rsid w:val="443A705E"/>
    <w:rsid w:val="444A8886"/>
    <w:rsid w:val="44698AE4"/>
    <w:rsid w:val="44896A9B"/>
    <w:rsid w:val="44A87629"/>
    <w:rsid w:val="44C3C3D8"/>
    <w:rsid w:val="457B560A"/>
    <w:rsid w:val="45900E57"/>
    <w:rsid w:val="45DD394F"/>
    <w:rsid w:val="46233750"/>
    <w:rsid w:val="46C4049D"/>
    <w:rsid w:val="46C517DE"/>
    <w:rsid w:val="4716F39A"/>
    <w:rsid w:val="473886F6"/>
    <w:rsid w:val="474A3119"/>
    <w:rsid w:val="47B46AD5"/>
    <w:rsid w:val="47C8D772"/>
    <w:rsid w:val="47F44651"/>
    <w:rsid w:val="4861A8B4"/>
    <w:rsid w:val="48C5CE06"/>
    <w:rsid w:val="4901917F"/>
    <w:rsid w:val="491AEDB9"/>
    <w:rsid w:val="491B3305"/>
    <w:rsid w:val="4926341D"/>
    <w:rsid w:val="4A43F365"/>
    <w:rsid w:val="4AABC983"/>
    <w:rsid w:val="4B5BF067"/>
    <w:rsid w:val="4B6B84F9"/>
    <w:rsid w:val="4C071F3D"/>
    <w:rsid w:val="4D38B044"/>
    <w:rsid w:val="4D3FD381"/>
    <w:rsid w:val="4D514862"/>
    <w:rsid w:val="4DDCA44D"/>
    <w:rsid w:val="4DDDEC1C"/>
    <w:rsid w:val="4DEC73C6"/>
    <w:rsid w:val="4E247A14"/>
    <w:rsid w:val="4E467978"/>
    <w:rsid w:val="4F440827"/>
    <w:rsid w:val="4F842583"/>
    <w:rsid w:val="4F8B7E20"/>
    <w:rsid w:val="501A38B6"/>
    <w:rsid w:val="50400546"/>
    <w:rsid w:val="50E54429"/>
    <w:rsid w:val="514AA66C"/>
    <w:rsid w:val="515DA329"/>
    <w:rsid w:val="51E7D547"/>
    <w:rsid w:val="52459EEA"/>
    <w:rsid w:val="52D704B3"/>
    <w:rsid w:val="5303C37D"/>
    <w:rsid w:val="533F03F1"/>
    <w:rsid w:val="53923928"/>
    <w:rsid w:val="53A6FF05"/>
    <w:rsid w:val="53B33503"/>
    <w:rsid w:val="54845835"/>
    <w:rsid w:val="54E1DC26"/>
    <w:rsid w:val="555F74CA"/>
    <w:rsid w:val="55BDBA09"/>
    <w:rsid w:val="55D1FBEB"/>
    <w:rsid w:val="56079522"/>
    <w:rsid w:val="5637851C"/>
    <w:rsid w:val="56B6B045"/>
    <w:rsid w:val="56BE08F1"/>
    <w:rsid w:val="56D17703"/>
    <w:rsid w:val="5758DD94"/>
    <w:rsid w:val="5870591A"/>
    <w:rsid w:val="588718FF"/>
    <w:rsid w:val="58AD058E"/>
    <w:rsid w:val="596F25DE"/>
    <w:rsid w:val="59A3A0EE"/>
    <w:rsid w:val="59DCB56C"/>
    <w:rsid w:val="59F895A3"/>
    <w:rsid w:val="5A0C297B"/>
    <w:rsid w:val="5A324E75"/>
    <w:rsid w:val="5A3B7500"/>
    <w:rsid w:val="5A5728B1"/>
    <w:rsid w:val="5A663D5E"/>
    <w:rsid w:val="5A95D9DC"/>
    <w:rsid w:val="5AE8ADF7"/>
    <w:rsid w:val="5B488F99"/>
    <w:rsid w:val="5B79E26D"/>
    <w:rsid w:val="5B7AE268"/>
    <w:rsid w:val="5BB9D841"/>
    <w:rsid w:val="5C5A0FCF"/>
    <w:rsid w:val="5CBF332A"/>
    <w:rsid w:val="5D25635C"/>
    <w:rsid w:val="5DADA0B7"/>
    <w:rsid w:val="5E4CFA1C"/>
    <w:rsid w:val="5E835A99"/>
    <w:rsid w:val="5E93AF26"/>
    <w:rsid w:val="5F1CF763"/>
    <w:rsid w:val="5F75E0F4"/>
    <w:rsid w:val="5F95CD67"/>
    <w:rsid w:val="5F98B52A"/>
    <w:rsid w:val="5FA1FECD"/>
    <w:rsid w:val="5FDD7443"/>
    <w:rsid w:val="6082319F"/>
    <w:rsid w:val="60D92D68"/>
    <w:rsid w:val="60EF9637"/>
    <w:rsid w:val="611D4BDD"/>
    <w:rsid w:val="6137349B"/>
    <w:rsid w:val="61BC82A5"/>
    <w:rsid w:val="61FC92DF"/>
    <w:rsid w:val="624379D0"/>
    <w:rsid w:val="62593626"/>
    <w:rsid w:val="63207FEE"/>
    <w:rsid w:val="6331DFBC"/>
    <w:rsid w:val="637BC3EA"/>
    <w:rsid w:val="63BD1195"/>
    <w:rsid w:val="64098D68"/>
    <w:rsid w:val="64792C30"/>
    <w:rsid w:val="647E3FCC"/>
    <w:rsid w:val="65218404"/>
    <w:rsid w:val="657B1A92"/>
    <w:rsid w:val="65A7D05B"/>
    <w:rsid w:val="665FDA6A"/>
    <w:rsid w:val="6685C2A6"/>
    <w:rsid w:val="672E5A90"/>
    <w:rsid w:val="679F3A19"/>
    <w:rsid w:val="680010B3"/>
    <w:rsid w:val="68172407"/>
    <w:rsid w:val="68ABA257"/>
    <w:rsid w:val="69911651"/>
    <w:rsid w:val="69DFDE87"/>
    <w:rsid w:val="69F468EA"/>
    <w:rsid w:val="6A3451D9"/>
    <w:rsid w:val="6A4A3609"/>
    <w:rsid w:val="6A5A9272"/>
    <w:rsid w:val="6B43EFE7"/>
    <w:rsid w:val="6B677828"/>
    <w:rsid w:val="6BCEFFD6"/>
    <w:rsid w:val="6BE85B1A"/>
    <w:rsid w:val="6BF02D1E"/>
    <w:rsid w:val="6C6826E8"/>
    <w:rsid w:val="6C7A7E31"/>
    <w:rsid w:val="6CB3F99A"/>
    <w:rsid w:val="6D334A2B"/>
    <w:rsid w:val="6D419AD3"/>
    <w:rsid w:val="6D96C2B0"/>
    <w:rsid w:val="6DA141DB"/>
    <w:rsid w:val="6DA7BA78"/>
    <w:rsid w:val="6DD2ABFC"/>
    <w:rsid w:val="6DDD8D67"/>
    <w:rsid w:val="6EDE8F44"/>
    <w:rsid w:val="6F4484F8"/>
    <w:rsid w:val="6F57F1A7"/>
    <w:rsid w:val="6F72EA09"/>
    <w:rsid w:val="6FEE5E9C"/>
    <w:rsid w:val="70ACEE6C"/>
    <w:rsid w:val="71084784"/>
    <w:rsid w:val="7156ECC6"/>
    <w:rsid w:val="71625A0E"/>
    <w:rsid w:val="716A4905"/>
    <w:rsid w:val="7186D832"/>
    <w:rsid w:val="72046CDF"/>
    <w:rsid w:val="72685E8B"/>
    <w:rsid w:val="72A3FF06"/>
    <w:rsid w:val="72F8444B"/>
    <w:rsid w:val="73336DD3"/>
    <w:rsid w:val="733711AA"/>
    <w:rsid w:val="737BC096"/>
    <w:rsid w:val="73FF59B5"/>
    <w:rsid w:val="752786F9"/>
    <w:rsid w:val="75A1788F"/>
    <w:rsid w:val="76479FEC"/>
    <w:rsid w:val="7663E9C1"/>
    <w:rsid w:val="76F90BB0"/>
    <w:rsid w:val="7813B50C"/>
    <w:rsid w:val="781D4544"/>
    <w:rsid w:val="78604435"/>
    <w:rsid w:val="788D7ED8"/>
    <w:rsid w:val="78DDC7DC"/>
    <w:rsid w:val="794B6F45"/>
    <w:rsid w:val="79A26835"/>
    <w:rsid w:val="79C8A334"/>
    <w:rsid w:val="7A78B621"/>
    <w:rsid w:val="7A7A8B85"/>
    <w:rsid w:val="7AAAF310"/>
    <w:rsid w:val="7AB5E989"/>
    <w:rsid w:val="7B373861"/>
    <w:rsid w:val="7B4A1C77"/>
    <w:rsid w:val="7BAA573B"/>
    <w:rsid w:val="7BE00266"/>
    <w:rsid w:val="7C8C02F6"/>
    <w:rsid w:val="7E015FC6"/>
    <w:rsid w:val="7E16840C"/>
    <w:rsid w:val="7E1B3C85"/>
    <w:rsid w:val="7E3AF311"/>
    <w:rsid w:val="7E6B9E9D"/>
    <w:rsid w:val="7ED1E160"/>
    <w:rsid w:val="7F15B562"/>
    <w:rsid w:val="7F2BF9E8"/>
    <w:rsid w:val="7F3E2809"/>
    <w:rsid w:val="7F54559C"/>
    <w:rsid w:val="7F708260"/>
    <w:rsid w:val="7FA4311A"/>
    <w:rsid w:val="7FF2CC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B423"/>
  <w15:docId w15:val="{AE5C7C07-3B92-441D-9099-0FF25923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B90"/>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C6360C"/>
    <w:pPr>
      <w:keepNext/>
      <w:tabs>
        <w:tab w:val="left" w:pos="2126"/>
      </w:tabs>
      <w:jc w:val="both"/>
      <w:outlineLvl w:val="0"/>
    </w:pPr>
    <w:rPr>
      <w:b/>
    </w:rPr>
  </w:style>
  <w:style w:type="paragraph" w:styleId="Heading2">
    <w:name w:val="heading 2"/>
    <w:basedOn w:val="Normal"/>
    <w:next w:val="Normal"/>
    <w:link w:val="Heading2Char"/>
    <w:uiPriority w:val="9"/>
    <w:qFormat/>
    <w:rsid w:val="00C6360C"/>
    <w:pPr>
      <w:keepNext/>
      <w:spacing w:before="240" w:after="60"/>
      <w:outlineLvl w:val="1"/>
    </w:pPr>
    <w:rPr>
      <w:b/>
      <w:bCs/>
      <w:i/>
      <w:iCs/>
      <w:sz w:val="28"/>
      <w:szCs w:val="28"/>
    </w:rPr>
  </w:style>
  <w:style w:type="paragraph" w:styleId="Heading3">
    <w:name w:val="heading 3"/>
    <w:basedOn w:val="Normal"/>
    <w:next w:val="Normal"/>
    <w:link w:val="Heading3Char"/>
    <w:uiPriority w:val="9"/>
    <w:unhideWhenUsed/>
    <w:qFormat/>
    <w:rsid w:val="00C6360C"/>
    <w:pPr>
      <w:keepNext/>
      <w:keepLines/>
      <w:spacing w:before="200" w:line="276" w:lineRule="auto"/>
      <w:ind w:left="221"/>
      <w:outlineLvl w:val="2"/>
    </w:pPr>
    <w:rPr>
      <w:rFonts w:ascii="Cambria" w:hAnsi="Cambria"/>
      <w:b/>
      <w:bCs/>
      <w:color w:val="4F81BD"/>
      <w:sz w:val="22"/>
      <w:szCs w:val="22"/>
    </w:rPr>
  </w:style>
  <w:style w:type="paragraph" w:styleId="Heading4">
    <w:name w:val="heading 4"/>
    <w:basedOn w:val="Normal"/>
    <w:next w:val="Normal"/>
    <w:link w:val="Heading4Char"/>
    <w:qFormat/>
    <w:rsid w:val="00C6360C"/>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qFormat/>
    <w:rsid w:val="00C6360C"/>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60C"/>
    <w:rPr>
      <w:rFonts w:ascii="Arial" w:eastAsia="Times New Roman" w:hAnsi="Arial" w:cs="Times New Roman"/>
      <w:b/>
      <w:sz w:val="20"/>
      <w:szCs w:val="20"/>
    </w:rPr>
  </w:style>
  <w:style w:type="character" w:customStyle="1" w:styleId="Heading2Char">
    <w:name w:val="Heading 2 Char"/>
    <w:basedOn w:val="DefaultParagraphFont"/>
    <w:link w:val="Heading2"/>
    <w:uiPriority w:val="9"/>
    <w:rsid w:val="00C6360C"/>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
    <w:rsid w:val="00C6360C"/>
    <w:rPr>
      <w:rFonts w:ascii="Cambria" w:eastAsia="Times New Roman" w:hAnsi="Cambria" w:cs="Times New Roman"/>
      <w:b/>
      <w:bCs/>
      <w:color w:val="4F81BD"/>
    </w:rPr>
  </w:style>
  <w:style w:type="character" w:customStyle="1" w:styleId="Heading4Char">
    <w:name w:val="Heading 4 Char"/>
    <w:basedOn w:val="DefaultParagraphFont"/>
    <w:link w:val="Heading4"/>
    <w:rsid w:val="00C6360C"/>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C6360C"/>
    <w:rPr>
      <w:rFonts w:ascii="Times New Roman" w:eastAsia="Times New Roman" w:hAnsi="Times New Roman" w:cs="Times New Roman"/>
      <w:sz w:val="24"/>
      <w:szCs w:val="24"/>
    </w:rPr>
  </w:style>
  <w:style w:type="paragraph" w:styleId="Header">
    <w:name w:val="header"/>
    <w:basedOn w:val="Normal"/>
    <w:link w:val="HeaderChar"/>
    <w:uiPriority w:val="99"/>
    <w:rsid w:val="00C6360C"/>
    <w:pPr>
      <w:tabs>
        <w:tab w:val="center" w:pos="4153"/>
        <w:tab w:val="right" w:pos="8306"/>
      </w:tabs>
    </w:pPr>
  </w:style>
  <w:style w:type="character" w:customStyle="1" w:styleId="HeaderChar">
    <w:name w:val="Header Char"/>
    <w:basedOn w:val="DefaultParagraphFont"/>
    <w:link w:val="Header"/>
    <w:uiPriority w:val="99"/>
    <w:rsid w:val="00C6360C"/>
    <w:rPr>
      <w:rFonts w:ascii="Arial" w:eastAsia="Times New Roman" w:hAnsi="Arial" w:cs="Times New Roman"/>
      <w:sz w:val="20"/>
      <w:szCs w:val="20"/>
    </w:rPr>
  </w:style>
  <w:style w:type="paragraph" w:styleId="Footer">
    <w:name w:val="footer"/>
    <w:basedOn w:val="Normal"/>
    <w:link w:val="FooterChar"/>
    <w:uiPriority w:val="99"/>
    <w:rsid w:val="00C6360C"/>
    <w:pPr>
      <w:tabs>
        <w:tab w:val="center" w:pos="4153"/>
        <w:tab w:val="right" w:pos="8306"/>
      </w:tabs>
    </w:pPr>
  </w:style>
  <w:style w:type="character" w:customStyle="1" w:styleId="FooterChar">
    <w:name w:val="Footer Char"/>
    <w:basedOn w:val="DefaultParagraphFont"/>
    <w:link w:val="Footer"/>
    <w:uiPriority w:val="99"/>
    <w:rsid w:val="00C6360C"/>
    <w:rPr>
      <w:rFonts w:ascii="Arial" w:eastAsia="Times New Roman" w:hAnsi="Arial" w:cs="Times New Roman"/>
      <w:sz w:val="20"/>
      <w:szCs w:val="20"/>
    </w:rPr>
  </w:style>
  <w:style w:type="character" w:styleId="PageNumber">
    <w:name w:val="page number"/>
    <w:basedOn w:val="DefaultParagraphFont"/>
    <w:rsid w:val="00C6360C"/>
  </w:style>
  <w:style w:type="table" w:styleId="TableGrid">
    <w:name w:val="Table Grid"/>
    <w:basedOn w:val="TableNormal"/>
    <w:uiPriority w:val="39"/>
    <w:rsid w:val="00C63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6360C"/>
    <w:pPr>
      <w:ind w:left="720"/>
    </w:pPr>
  </w:style>
  <w:style w:type="character" w:customStyle="1" w:styleId="BodyTextIndentChar">
    <w:name w:val="Body Text Indent Char"/>
    <w:basedOn w:val="DefaultParagraphFont"/>
    <w:link w:val="BodyTextIndent"/>
    <w:rsid w:val="00C6360C"/>
    <w:rPr>
      <w:rFonts w:ascii="Arial" w:eastAsia="Times New Roman" w:hAnsi="Arial" w:cs="Times New Roman"/>
      <w:sz w:val="20"/>
      <w:szCs w:val="20"/>
    </w:rPr>
  </w:style>
  <w:style w:type="paragraph" w:styleId="BodyText">
    <w:name w:val="Body Text"/>
    <w:basedOn w:val="Normal"/>
    <w:link w:val="BodyTextChar"/>
    <w:rsid w:val="00C6360C"/>
    <w:pPr>
      <w:spacing w:after="120"/>
    </w:pPr>
  </w:style>
  <w:style w:type="character" w:customStyle="1" w:styleId="BodyTextChar">
    <w:name w:val="Body Text Char"/>
    <w:basedOn w:val="DefaultParagraphFont"/>
    <w:link w:val="BodyText"/>
    <w:rsid w:val="00C6360C"/>
    <w:rPr>
      <w:rFonts w:ascii="Arial" w:eastAsia="Times New Roman" w:hAnsi="Arial" w:cs="Times New Roman"/>
      <w:sz w:val="20"/>
      <w:szCs w:val="20"/>
    </w:rPr>
  </w:style>
  <w:style w:type="paragraph" w:styleId="BalloonText">
    <w:name w:val="Balloon Text"/>
    <w:basedOn w:val="Normal"/>
    <w:link w:val="BalloonTextChar"/>
    <w:uiPriority w:val="99"/>
    <w:semiHidden/>
    <w:rsid w:val="00C6360C"/>
    <w:rPr>
      <w:rFonts w:ascii="Tahoma" w:hAnsi="Tahoma"/>
      <w:sz w:val="16"/>
      <w:szCs w:val="16"/>
    </w:rPr>
  </w:style>
  <w:style w:type="character" w:customStyle="1" w:styleId="BalloonTextChar">
    <w:name w:val="Balloon Text Char"/>
    <w:basedOn w:val="DefaultParagraphFont"/>
    <w:link w:val="BalloonText"/>
    <w:uiPriority w:val="99"/>
    <w:semiHidden/>
    <w:rsid w:val="00C6360C"/>
    <w:rPr>
      <w:rFonts w:ascii="Tahoma" w:eastAsia="Times New Roman" w:hAnsi="Tahoma" w:cs="Times New Roman"/>
      <w:sz w:val="16"/>
      <w:szCs w:val="16"/>
    </w:rPr>
  </w:style>
  <w:style w:type="character" w:styleId="Hyperlink">
    <w:name w:val="Hyperlink"/>
    <w:uiPriority w:val="99"/>
    <w:rsid w:val="00C6360C"/>
    <w:rPr>
      <w:color w:val="0000FF"/>
      <w:u w:val="single"/>
    </w:rPr>
  </w:style>
  <w:style w:type="character" w:styleId="FollowedHyperlink">
    <w:name w:val="FollowedHyperlink"/>
    <w:rsid w:val="00C6360C"/>
    <w:rPr>
      <w:color w:val="800080"/>
      <w:u w:val="single"/>
    </w:rPr>
  </w:style>
  <w:style w:type="paragraph" w:styleId="ListParagraph">
    <w:name w:val="List Paragraph"/>
    <w:aliases w:val="All text list Paragraph,Report NORMAL"/>
    <w:basedOn w:val="Normal"/>
    <w:link w:val="ListParagraphChar"/>
    <w:uiPriority w:val="34"/>
    <w:qFormat/>
    <w:rsid w:val="00C6360C"/>
    <w:pPr>
      <w:ind w:left="720"/>
      <w:contextualSpacing/>
    </w:pPr>
  </w:style>
  <w:style w:type="character" w:styleId="CommentReference">
    <w:name w:val="annotation reference"/>
    <w:uiPriority w:val="99"/>
    <w:semiHidden/>
    <w:unhideWhenUsed/>
    <w:rsid w:val="00C6360C"/>
    <w:rPr>
      <w:sz w:val="16"/>
      <w:szCs w:val="16"/>
    </w:rPr>
  </w:style>
  <w:style w:type="paragraph" w:styleId="CommentText">
    <w:name w:val="annotation text"/>
    <w:basedOn w:val="Normal"/>
    <w:link w:val="CommentTextChar"/>
    <w:uiPriority w:val="99"/>
    <w:unhideWhenUsed/>
    <w:rsid w:val="00C6360C"/>
  </w:style>
  <w:style w:type="character" w:customStyle="1" w:styleId="CommentTextChar">
    <w:name w:val="Comment Text Char"/>
    <w:basedOn w:val="DefaultParagraphFont"/>
    <w:link w:val="CommentText"/>
    <w:uiPriority w:val="99"/>
    <w:rsid w:val="00C6360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6360C"/>
    <w:rPr>
      <w:b/>
      <w:bCs/>
    </w:rPr>
  </w:style>
  <w:style w:type="character" w:customStyle="1" w:styleId="CommentSubjectChar">
    <w:name w:val="Comment Subject Char"/>
    <w:basedOn w:val="CommentTextChar"/>
    <w:link w:val="CommentSubject"/>
    <w:uiPriority w:val="99"/>
    <w:semiHidden/>
    <w:rsid w:val="00C6360C"/>
    <w:rPr>
      <w:rFonts w:ascii="Arial" w:eastAsia="Times New Roman" w:hAnsi="Arial" w:cs="Times New Roman"/>
      <w:b/>
      <w:bCs/>
      <w:sz w:val="20"/>
      <w:szCs w:val="20"/>
    </w:rPr>
  </w:style>
  <w:style w:type="paragraph" w:styleId="TOC1">
    <w:name w:val="toc 1"/>
    <w:basedOn w:val="Normal"/>
    <w:next w:val="Normal"/>
    <w:autoRedefine/>
    <w:uiPriority w:val="39"/>
    <w:unhideWhenUsed/>
    <w:rsid w:val="00C6360C"/>
    <w:pPr>
      <w:spacing w:after="100" w:line="276" w:lineRule="auto"/>
    </w:pPr>
    <w:rPr>
      <w:rFonts w:ascii="Calibri" w:eastAsia="Calibri" w:hAnsi="Calibri"/>
      <w:sz w:val="22"/>
      <w:szCs w:val="22"/>
    </w:rPr>
  </w:style>
  <w:style w:type="paragraph" w:styleId="TOC2">
    <w:name w:val="toc 2"/>
    <w:basedOn w:val="Normal"/>
    <w:next w:val="Normal"/>
    <w:autoRedefine/>
    <w:uiPriority w:val="39"/>
    <w:unhideWhenUsed/>
    <w:rsid w:val="00C6360C"/>
    <w:pPr>
      <w:spacing w:after="100" w:line="276" w:lineRule="auto"/>
      <w:ind w:left="220"/>
    </w:pPr>
    <w:rPr>
      <w:rFonts w:ascii="Calibri" w:eastAsia="Calibri" w:hAnsi="Calibri"/>
      <w:sz w:val="22"/>
      <w:szCs w:val="22"/>
    </w:rPr>
  </w:style>
  <w:style w:type="paragraph" w:styleId="TOC3">
    <w:name w:val="toc 3"/>
    <w:basedOn w:val="Normal"/>
    <w:next w:val="Normal"/>
    <w:autoRedefine/>
    <w:uiPriority w:val="39"/>
    <w:unhideWhenUsed/>
    <w:rsid w:val="00C6360C"/>
    <w:pPr>
      <w:spacing w:after="100" w:line="276" w:lineRule="auto"/>
      <w:ind w:left="440"/>
    </w:pPr>
    <w:rPr>
      <w:rFonts w:ascii="Calibri" w:eastAsia="Calibri" w:hAnsi="Calibri"/>
      <w:sz w:val="22"/>
      <w:szCs w:val="22"/>
    </w:rPr>
  </w:style>
  <w:style w:type="paragraph" w:styleId="NormalWeb">
    <w:name w:val="Normal (Web)"/>
    <w:basedOn w:val="Normal"/>
    <w:uiPriority w:val="99"/>
    <w:unhideWhenUsed/>
    <w:rsid w:val="00C6360C"/>
    <w:pPr>
      <w:spacing w:before="100" w:beforeAutospacing="1" w:after="100" w:afterAutospacing="1"/>
    </w:pPr>
    <w:rPr>
      <w:rFonts w:ascii="Times" w:hAnsi="Times"/>
    </w:rPr>
  </w:style>
  <w:style w:type="paragraph" w:customStyle="1" w:styleId="2">
    <w:name w:val="2"/>
    <w:basedOn w:val="TOC2"/>
    <w:next w:val="Heading2"/>
    <w:autoRedefine/>
    <w:rsid w:val="00C6360C"/>
    <w:pPr>
      <w:numPr>
        <w:numId w:val="1"/>
      </w:numPr>
      <w:spacing w:after="0" w:line="240" w:lineRule="auto"/>
    </w:pPr>
    <w:rPr>
      <w:rFonts w:ascii="Arial" w:eastAsia="MS ??" w:hAnsi="Arial" w:cs="Arial"/>
      <w:spacing w:val="5"/>
      <w:kern w:val="28"/>
      <w:sz w:val="20"/>
      <w:szCs w:val="20"/>
      <w:lang w:eastAsia="en-GB"/>
    </w:rPr>
  </w:style>
  <w:style w:type="character" w:customStyle="1" w:styleId="ListParagraphChar">
    <w:name w:val="List Paragraph Char"/>
    <w:aliases w:val="All text list Paragraph Char,Report NORMAL Char"/>
    <w:link w:val="ListParagraph"/>
    <w:uiPriority w:val="34"/>
    <w:locked/>
    <w:rsid w:val="00335EB1"/>
    <w:rPr>
      <w:rFonts w:ascii="Arial" w:eastAsia="Times New Roman" w:hAnsi="Arial" w:cs="Times New Roman"/>
      <w:sz w:val="20"/>
      <w:szCs w:val="20"/>
    </w:rPr>
  </w:style>
  <w:style w:type="character" w:styleId="Strong">
    <w:name w:val="Strong"/>
    <w:basedOn w:val="DefaultParagraphFont"/>
    <w:uiPriority w:val="22"/>
    <w:qFormat/>
    <w:rsid w:val="00FB7A39"/>
    <w:rPr>
      <w:b/>
      <w:bCs/>
    </w:rPr>
  </w:style>
  <w:style w:type="paragraph" w:styleId="FootnoteText">
    <w:name w:val="footnote text"/>
    <w:basedOn w:val="Normal"/>
    <w:link w:val="FootnoteTextChar"/>
    <w:uiPriority w:val="99"/>
    <w:semiHidden/>
    <w:unhideWhenUsed/>
    <w:rsid w:val="00D83B37"/>
  </w:style>
  <w:style w:type="character" w:customStyle="1" w:styleId="FootnoteTextChar">
    <w:name w:val="Footnote Text Char"/>
    <w:basedOn w:val="DefaultParagraphFont"/>
    <w:link w:val="FootnoteText"/>
    <w:uiPriority w:val="99"/>
    <w:semiHidden/>
    <w:rsid w:val="00D83B37"/>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D83B37"/>
    <w:rPr>
      <w:vertAlign w:val="superscript"/>
    </w:rPr>
  </w:style>
  <w:style w:type="paragraph" w:customStyle="1" w:styleId="Default">
    <w:name w:val="Default"/>
    <w:rsid w:val="00A2434D"/>
    <w:pPr>
      <w:autoSpaceDE w:val="0"/>
      <w:autoSpaceDN w:val="0"/>
      <w:adjustRightInd w:val="0"/>
      <w:spacing w:after="0" w:line="240" w:lineRule="auto"/>
    </w:pPr>
    <w:rPr>
      <w:rFonts w:ascii="ELSNP I+ Meta Plus Normal" w:hAnsi="ELSNP I+ Meta Plus Normal" w:cs="ELSNP I+ Meta Plus Normal"/>
      <w:color w:val="000000"/>
      <w:sz w:val="24"/>
      <w:szCs w:val="24"/>
    </w:rPr>
  </w:style>
  <w:style w:type="paragraph" w:styleId="EndnoteText">
    <w:name w:val="endnote text"/>
    <w:basedOn w:val="Normal"/>
    <w:link w:val="EndnoteTextChar"/>
    <w:uiPriority w:val="99"/>
    <w:semiHidden/>
    <w:unhideWhenUsed/>
    <w:rsid w:val="000044E6"/>
  </w:style>
  <w:style w:type="character" w:customStyle="1" w:styleId="EndnoteTextChar">
    <w:name w:val="Endnote Text Char"/>
    <w:basedOn w:val="DefaultParagraphFont"/>
    <w:link w:val="EndnoteText"/>
    <w:uiPriority w:val="99"/>
    <w:semiHidden/>
    <w:rsid w:val="000044E6"/>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0044E6"/>
    <w:rPr>
      <w:vertAlign w:val="superscript"/>
    </w:rPr>
  </w:style>
  <w:style w:type="character" w:customStyle="1" w:styleId="normaltextrun">
    <w:name w:val="normaltextrun"/>
    <w:basedOn w:val="DefaultParagraphFont"/>
    <w:rsid w:val="00A01475"/>
  </w:style>
  <w:style w:type="character" w:customStyle="1" w:styleId="eop">
    <w:name w:val="eop"/>
    <w:basedOn w:val="DefaultParagraphFont"/>
    <w:rsid w:val="002301A2"/>
  </w:style>
  <w:style w:type="character" w:styleId="Mention">
    <w:name w:val="Mention"/>
    <w:basedOn w:val="DefaultParagraphFont"/>
    <w:uiPriority w:val="99"/>
    <w:unhideWhenUsed/>
    <w:rsid w:val="001F34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0928">
      <w:bodyDiv w:val="1"/>
      <w:marLeft w:val="0"/>
      <w:marRight w:val="0"/>
      <w:marTop w:val="0"/>
      <w:marBottom w:val="0"/>
      <w:divBdr>
        <w:top w:val="none" w:sz="0" w:space="0" w:color="auto"/>
        <w:left w:val="none" w:sz="0" w:space="0" w:color="auto"/>
        <w:bottom w:val="none" w:sz="0" w:space="0" w:color="auto"/>
        <w:right w:val="none" w:sz="0" w:space="0" w:color="auto"/>
      </w:divBdr>
    </w:div>
    <w:div w:id="101993265">
      <w:bodyDiv w:val="1"/>
      <w:marLeft w:val="0"/>
      <w:marRight w:val="0"/>
      <w:marTop w:val="0"/>
      <w:marBottom w:val="0"/>
      <w:divBdr>
        <w:top w:val="none" w:sz="0" w:space="0" w:color="auto"/>
        <w:left w:val="none" w:sz="0" w:space="0" w:color="auto"/>
        <w:bottom w:val="none" w:sz="0" w:space="0" w:color="auto"/>
        <w:right w:val="none" w:sz="0" w:space="0" w:color="auto"/>
      </w:divBdr>
    </w:div>
    <w:div w:id="117724557">
      <w:bodyDiv w:val="1"/>
      <w:marLeft w:val="0"/>
      <w:marRight w:val="0"/>
      <w:marTop w:val="0"/>
      <w:marBottom w:val="0"/>
      <w:divBdr>
        <w:top w:val="none" w:sz="0" w:space="0" w:color="auto"/>
        <w:left w:val="none" w:sz="0" w:space="0" w:color="auto"/>
        <w:bottom w:val="none" w:sz="0" w:space="0" w:color="auto"/>
        <w:right w:val="none" w:sz="0" w:space="0" w:color="auto"/>
      </w:divBdr>
    </w:div>
    <w:div w:id="131026723">
      <w:bodyDiv w:val="1"/>
      <w:marLeft w:val="0"/>
      <w:marRight w:val="0"/>
      <w:marTop w:val="0"/>
      <w:marBottom w:val="0"/>
      <w:divBdr>
        <w:top w:val="none" w:sz="0" w:space="0" w:color="auto"/>
        <w:left w:val="none" w:sz="0" w:space="0" w:color="auto"/>
        <w:bottom w:val="none" w:sz="0" w:space="0" w:color="auto"/>
        <w:right w:val="none" w:sz="0" w:space="0" w:color="auto"/>
      </w:divBdr>
    </w:div>
    <w:div w:id="167410622">
      <w:bodyDiv w:val="1"/>
      <w:marLeft w:val="0"/>
      <w:marRight w:val="0"/>
      <w:marTop w:val="0"/>
      <w:marBottom w:val="0"/>
      <w:divBdr>
        <w:top w:val="none" w:sz="0" w:space="0" w:color="auto"/>
        <w:left w:val="none" w:sz="0" w:space="0" w:color="auto"/>
        <w:bottom w:val="none" w:sz="0" w:space="0" w:color="auto"/>
        <w:right w:val="none" w:sz="0" w:space="0" w:color="auto"/>
      </w:divBdr>
    </w:div>
    <w:div w:id="172306252">
      <w:bodyDiv w:val="1"/>
      <w:marLeft w:val="0"/>
      <w:marRight w:val="0"/>
      <w:marTop w:val="0"/>
      <w:marBottom w:val="0"/>
      <w:divBdr>
        <w:top w:val="none" w:sz="0" w:space="0" w:color="auto"/>
        <w:left w:val="none" w:sz="0" w:space="0" w:color="auto"/>
        <w:bottom w:val="none" w:sz="0" w:space="0" w:color="auto"/>
        <w:right w:val="none" w:sz="0" w:space="0" w:color="auto"/>
      </w:divBdr>
    </w:div>
    <w:div w:id="209731558">
      <w:bodyDiv w:val="1"/>
      <w:marLeft w:val="0"/>
      <w:marRight w:val="0"/>
      <w:marTop w:val="0"/>
      <w:marBottom w:val="0"/>
      <w:divBdr>
        <w:top w:val="none" w:sz="0" w:space="0" w:color="auto"/>
        <w:left w:val="none" w:sz="0" w:space="0" w:color="auto"/>
        <w:bottom w:val="none" w:sz="0" w:space="0" w:color="auto"/>
        <w:right w:val="none" w:sz="0" w:space="0" w:color="auto"/>
      </w:divBdr>
    </w:div>
    <w:div w:id="224226009">
      <w:bodyDiv w:val="1"/>
      <w:marLeft w:val="0"/>
      <w:marRight w:val="0"/>
      <w:marTop w:val="0"/>
      <w:marBottom w:val="0"/>
      <w:divBdr>
        <w:top w:val="none" w:sz="0" w:space="0" w:color="auto"/>
        <w:left w:val="none" w:sz="0" w:space="0" w:color="auto"/>
        <w:bottom w:val="none" w:sz="0" w:space="0" w:color="auto"/>
        <w:right w:val="none" w:sz="0" w:space="0" w:color="auto"/>
      </w:divBdr>
    </w:div>
    <w:div w:id="240411397">
      <w:bodyDiv w:val="1"/>
      <w:marLeft w:val="0"/>
      <w:marRight w:val="0"/>
      <w:marTop w:val="0"/>
      <w:marBottom w:val="0"/>
      <w:divBdr>
        <w:top w:val="none" w:sz="0" w:space="0" w:color="auto"/>
        <w:left w:val="none" w:sz="0" w:space="0" w:color="auto"/>
        <w:bottom w:val="none" w:sz="0" w:space="0" w:color="auto"/>
        <w:right w:val="none" w:sz="0" w:space="0" w:color="auto"/>
      </w:divBdr>
    </w:div>
    <w:div w:id="249512533">
      <w:bodyDiv w:val="1"/>
      <w:marLeft w:val="0"/>
      <w:marRight w:val="0"/>
      <w:marTop w:val="0"/>
      <w:marBottom w:val="0"/>
      <w:divBdr>
        <w:top w:val="none" w:sz="0" w:space="0" w:color="auto"/>
        <w:left w:val="none" w:sz="0" w:space="0" w:color="auto"/>
        <w:bottom w:val="none" w:sz="0" w:space="0" w:color="auto"/>
        <w:right w:val="none" w:sz="0" w:space="0" w:color="auto"/>
      </w:divBdr>
    </w:div>
    <w:div w:id="249852969">
      <w:bodyDiv w:val="1"/>
      <w:marLeft w:val="0"/>
      <w:marRight w:val="0"/>
      <w:marTop w:val="0"/>
      <w:marBottom w:val="0"/>
      <w:divBdr>
        <w:top w:val="none" w:sz="0" w:space="0" w:color="auto"/>
        <w:left w:val="none" w:sz="0" w:space="0" w:color="auto"/>
        <w:bottom w:val="none" w:sz="0" w:space="0" w:color="auto"/>
        <w:right w:val="none" w:sz="0" w:space="0" w:color="auto"/>
      </w:divBdr>
    </w:div>
    <w:div w:id="275526645">
      <w:bodyDiv w:val="1"/>
      <w:marLeft w:val="0"/>
      <w:marRight w:val="0"/>
      <w:marTop w:val="0"/>
      <w:marBottom w:val="0"/>
      <w:divBdr>
        <w:top w:val="none" w:sz="0" w:space="0" w:color="auto"/>
        <w:left w:val="none" w:sz="0" w:space="0" w:color="auto"/>
        <w:bottom w:val="none" w:sz="0" w:space="0" w:color="auto"/>
        <w:right w:val="none" w:sz="0" w:space="0" w:color="auto"/>
      </w:divBdr>
    </w:div>
    <w:div w:id="282880448">
      <w:bodyDiv w:val="1"/>
      <w:marLeft w:val="0"/>
      <w:marRight w:val="0"/>
      <w:marTop w:val="0"/>
      <w:marBottom w:val="0"/>
      <w:divBdr>
        <w:top w:val="none" w:sz="0" w:space="0" w:color="auto"/>
        <w:left w:val="none" w:sz="0" w:space="0" w:color="auto"/>
        <w:bottom w:val="none" w:sz="0" w:space="0" w:color="auto"/>
        <w:right w:val="none" w:sz="0" w:space="0" w:color="auto"/>
      </w:divBdr>
    </w:div>
    <w:div w:id="293216773">
      <w:bodyDiv w:val="1"/>
      <w:marLeft w:val="0"/>
      <w:marRight w:val="0"/>
      <w:marTop w:val="0"/>
      <w:marBottom w:val="0"/>
      <w:divBdr>
        <w:top w:val="none" w:sz="0" w:space="0" w:color="auto"/>
        <w:left w:val="none" w:sz="0" w:space="0" w:color="auto"/>
        <w:bottom w:val="none" w:sz="0" w:space="0" w:color="auto"/>
        <w:right w:val="none" w:sz="0" w:space="0" w:color="auto"/>
      </w:divBdr>
    </w:div>
    <w:div w:id="295719028">
      <w:bodyDiv w:val="1"/>
      <w:marLeft w:val="0"/>
      <w:marRight w:val="0"/>
      <w:marTop w:val="0"/>
      <w:marBottom w:val="0"/>
      <w:divBdr>
        <w:top w:val="none" w:sz="0" w:space="0" w:color="auto"/>
        <w:left w:val="none" w:sz="0" w:space="0" w:color="auto"/>
        <w:bottom w:val="none" w:sz="0" w:space="0" w:color="auto"/>
        <w:right w:val="none" w:sz="0" w:space="0" w:color="auto"/>
      </w:divBdr>
    </w:div>
    <w:div w:id="313074067">
      <w:bodyDiv w:val="1"/>
      <w:marLeft w:val="0"/>
      <w:marRight w:val="0"/>
      <w:marTop w:val="0"/>
      <w:marBottom w:val="0"/>
      <w:divBdr>
        <w:top w:val="none" w:sz="0" w:space="0" w:color="auto"/>
        <w:left w:val="none" w:sz="0" w:space="0" w:color="auto"/>
        <w:bottom w:val="none" w:sz="0" w:space="0" w:color="auto"/>
        <w:right w:val="none" w:sz="0" w:space="0" w:color="auto"/>
      </w:divBdr>
    </w:div>
    <w:div w:id="326132683">
      <w:bodyDiv w:val="1"/>
      <w:marLeft w:val="0"/>
      <w:marRight w:val="0"/>
      <w:marTop w:val="0"/>
      <w:marBottom w:val="0"/>
      <w:divBdr>
        <w:top w:val="none" w:sz="0" w:space="0" w:color="auto"/>
        <w:left w:val="none" w:sz="0" w:space="0" w:color="auto"/>
        <w:bottom w:val="none" w:sz="0" w:space="0" w:color="auto"/>
        <w:right w:val="none" w:sz="0" w:space="0" w:color="auto"/>
      </w:divBdr>
    </w:div>
    <w:div w:id="430661392">
      <w:bodyDiv w:val="1"/>
      <w:marLeft w:val="0"/>
      <w:marRight w:val="0"/>
      <w:marTop w:val="0"/>
      <w:marBottom w:val="0"/>
      <w:divBdr>
        <w:top w:val="none" w:sz="0" w:space="0" w:color="auto"/>
        <w:left w:val="none" w:sz="0" w:space="0" w:color="auto"/>
        <w:bottom w:val="none" w:sz="0" w:space="0" w:color="auto"/>
        <w:right w:val="none" w:sz="0" w:space="0" w:color="auto"/>
      </w:divBdr>
    </w:div>
    <w:div w:id="435755574">
      <w:bodyDiv w:val="1"/>
      <w:marLeft w:val="0"/>
      <w:marRight w:val="0"/>
      <w:marTop w:val="0"/>
      <w:marBottom w:val="0"/>
      <w:divBdr>
        <w:top w:val="none" w:sz="0" w:space="0" w:color="auto"/>
        <w:left w:val="none" w:sz="0" w:space="0" w:color="auto"/>
        <w:bottom w:val="none" w:sz="0" w:space="0" w:color="auto"/>
        <w:right w:val="none" w:sz="0" w:space="0" w:color="auto"/>
      </w:divBdr>
    </w:div>
    <w:div w:id="447702419">
      <w:bodyDiv w:val="1"/>
      <w:marLeft w:val="0"/>
      <w:marRight w:val="0"/>
      <w:marTop w:val="0"/>
      <w:marBottom w:val="0"/>
      <w:divBdr>
        <w:top w:val="none" w:sz="0" w:space="0" w:color="auto"/>
        <w:left w:val="none" w:sz="0" w:space="0" w:color="auto"/>
        <w:bottom w:val="none" w:sz="0" w:space="0" w:color="auto"/>
        <w:right w:val="none" w:sz="0" w:space="0" w:color="auto"/>
      </w:divBdr>
    </w:div>
    <w:div w:id="473184550">
      <w:bodyDiv w:val="1"/>
      <w:marLeft w:val="0"/>
      <w:marRight w:val="0"/>
      <w:marTop w:val="0"/>
      <w:marBottom w:val="0"/>
      <w:divBdr>
        <w:top w:val="none" w:sz="0" w:space="0" w:color="auto"/>
        <w:left w:val="none" w:sz="0" w:space="0" w:color="auto"/>
        <w:bottom w:val="none" w:sz="0" w:space="0" w:color="auto"/>
        <w:right w:val="none" w:sz="0" w:space="0" w:color="auto"/>
      </w:divBdr>
    </w:div>
    <w:div w:id="498616153">
      <w:bodyDiv w:val="1"/>
      <w:marLeft w:val="0"/>
      <w:marRight w:val="0"/>
      <w:marTop w:val="0"/>
      <w:marBottom w:val="0"/>
      <w:divBdr>
        <w:top w:val="none" w:sz="0" w:space="0" w:color="auto"/>
        <w:left w:val="none" w:sz="0" w:space="0" w:color="auto"/>
        <w:bottom w:val="none" w:sz="0" w:space="0" w:color="auto"/>
        <w:right w:val="none" w:sz="0" w:space="0" w:color="auto"/>
      </w:divBdr>
    </w:div>
    <w:div w:id="510142932">
      <w:bodyDiv w:val="1"/>
      <w:marLeft w:val="0"/>
      <w:marRight w:val="0"/>
      <w:marTop w:val="0"/>
      <w:marBottom w:val="0"/>
      <w:divBdr>
        <w:top w:val="none" w:sz="0" w:space="0" w:color="auto"/>
        <w:left w:val="none" w:sz="0" w:space="0" w:color="auto"/>
        <w:bottom w:val="none" w:sz="0" w:space="0" w:color="auto"/>
        <w:right w:val="none" w:sz="0" w:space="0" w:color="auto"/>
      </w:divBdr>
    </w:div>
    <w:div w:id="571083062">
      <w:bodyDiv w:val="1"/>
      <w:marLeft w:val="0"/>
      <w:marRight w:val="0"/>
      <w:marTop w:val="0"/>
      <w:marBottom w:val="0"/>
      <w:divBdr>
        <w:top w:val="none" w:sz="0" w:space="0" w:color="auto"/>
        <w:left w:val="none" w:sz="0" w:space="0" w:color="auto"/>
        <w:bottom w:val="none" w:sz="0" w:space="0" w:color="auto"/>
        <w:right w:val="none" w:sz="0" w:space="0" w:color="auto"/>
      </w:divBdr>
    </w:div>
    <w:div w:id="582642154">
      <w:bodyDiv w:val="1"/>
      <w:marLeft w:val="0"/>
      <w:marRight w:val="0"/>
      <w:marTop w:val="0"/>
      <w:marBottom w:val="0"/>
      <w:divBdr>
        <w:top w:val="none" w:sz="0" w:space="0" w:color="auto"/>
        <w:left w:val="none" w:sz="0" w:space="0" w:color="auto"/>
        <w:bottom w:val="none" w:sz="0" w:space="0" w:color="auto"/>
        <w:right w:val="none" w:sz="0" w:space="0" w:color="auto"/>
      </w:divBdr>
    </w:div>
    <w:div w:id="600068537">
      <w:bodyDiv w:val="1"/>
      <w:marLeft w:val="0"/>
      <w:marRight w:val="0"/>
      <w:marTop w:val="0"/>
      <w:marBottom w:val="0"/>
      <w:divBdr>
        <w:top w:val="none" w:sz="0" w:space="0" w:color="auto"/>
        <w:left w:val="none" w:sz="0" w:space="0" w:color="auto"/>
        <w:bottom w:val="none" w:sz="0" w:space="0" w:color="auto"/>
        <w:right w:val="none" w:sz="0" w:space="0" w:color="auto"/>
      </w:divBdr>
    </w:div>
    <w:div w:id="603540963">
      <w:bodyDiv w:val="1"/>
      <w:marLeft w:val="0"/>
      <w:marRight w:val="0"/>
      <w:marTop w:val="0"/>
      <w:marBottom w:val="0"/>
      <w:divBdr>
        <w:top w:val="none" w:sz="0" w:space="0" w:color="auto"/>
        <w:left w:val="none" w:sz="0" w:space="0" w:color="auto"/>
        <w:bottom w:val="none" w:sz="0" w:space="0" w:color="auto"/>
        <w:right w:val="none" w:sz="0" w:space="0" w:color="auto"/>
      </w:divBdr>
    </w:div>
    <w:div w:id="633756628">
      <w:bodyDiv w:val="1"/>
      <w:marLeft w:val="0"/>
      <w:marRight w:val="0"/>
      <w:marTop w:val="0"/>
      <w:marBottom w:val="0"/>
      <w:divBdr>
        <w:top w:val="none" w:sz="0" w:space="0" w:color="auto"/>
        <w:left w:val="none" w:sz="0" w:space="0" w:color="auto"/>
        <w:bottom w:val="none" w:sz="0" w:space="0" w:color="auto"/>
        <w:right w:val="none" w:sz="0" w:space="0" w:color="auto"/>
      </w:divBdr>
    </w:div>
    <w:div w:id="738014511">
      <w:bodyDiv w:val="1"/>
      <w:marLeft w:val="0"/>
      <w:marRight w:val="0"/>
      <w:marTop w:val="0"/>
      <w:marBottom w:val="0"/>
      <w:divBdr>
        <w:top w:val="none" w:sz="0" w:space="0" w:color="auto"/>
        <w:left w:val="none" w:sz="0" w:space="0" w:color="auto"/>
        <w:bottom w:val="none" w:sz="0" w:space="0" w:color="auto"/>
        <w:right w:val="none" w:sz="0" w:space="0" w:color="auto"/>
      </w:divBdr>
    </w:div>
    <w:div w:id="850801347">
      <w:bodyDiv w:val="1"/>
      <w:marLeft w:val="0"/>
      <w:marRight w:val="0"/>
      <w:marTop w:val="0"/>
      <w:marBottom w:val="0"/>
      <w:divBdr>
        <w:top w:val="none" w:sz="0" w:space="0" w:color="auto"/>
        <w:left w:val="none" w:sz="0" w:space="0" w:color="auto"/>
        <w:bottom w:val="none" w:sz="0" w:space="0" w:color="auto"/>
        <w:right w:val="none" w:sz="0" w:space="0" w:color="auto"/>
      </w:divBdr>
    </w:div>
    <w:div w:id="851920892">
      <w:bodyDiv w:val="1"/>
      <w:marLeft w:val="0"/>
      <w:marRight w:val="0"/>
      <w:marTop w:val="0"/>
      <w:marBottom w:val="0"/>
      <w:divBdr>
        <w:top w:val="none" w:sz="0" w:space="0" w:color="auto"/>
        <w:left w:val="none" w:sz="0" w:space="0" w:color="auto"/>
        <w:bottom w:val="none" w:sz="0" w:space="0" w:color="auto"/>
        <w:right w:val="none" w:sz="0" w:space="0" w:color="auto"/>
      </w:divBdr>
    </w:div>
    <w:div w:id="856578383">
      <w:bodyDiv w:val="1"/>
      <w:marLeft w:val="0"/>
      <w:marRight w:val="0"/>
      <w:marTop w:val="0"/>
      <w:marBottom w:val="0"/>
      <w:divBdr>
        <w:top w:val="none" w:sz="0" w:space="0" w:color="auto"/>
        <w:left w:val="none" w:sz="0" w:space="0" w:color="auto"/>
        <w:bottom w:val="none" w:sz="0" w:space="0" w:color="auto"/>
        <w:right w:val="none" w:sz="0" w:space="0" w:color="auto"/>
      </w:divBdr>
    </w:div>
    <w:div w:id="873346573">
      <w:bodyDiv w:val="1"/>
      <w:marLeft w:val="0"/>
      <w:marRight w:val="0"/>
      <w:marTop w:val="0"/>
      <w:marBottom w:val="0"/>
      <w:divBdr>
        <w:top w:val="none" w:sz="0" w:space="0" w:color="auto"/>
        <w:left w:val="none" w:sz="0" w:space="0" w:color="auto"/>
        <w:bottom w:val="none" w:sz="0" w:space="0" w:color="auto"/>
        <w:right w:val="none" w:sz="0" w:space="0" w:color="auto"/>
      </w:divBdr>
    </w:div>
    <w:div w:id="941766027">
      <w:bodyDiv w:val="1"/>
      <w:marLeft w:val="0"/>
      <w:marRight w:val="0"/>
      <w:marTop w:val="0"/>
      <w:marBottom w:val="0"/>
      <w:divBdr>
        <w:top w:val="none" w:sz="0" w:space="0" w:color="auto"/>
        <w:left w:val="none" w:sz="0" w:space="0" w:color="auto"/>
        <w:bottom w:val="none" w:sz="0" w:space="0" w:color="auto"/>
        <w:right w:val="none" w:sz="0" w:space="0" w:color="auto"/>
      </w:divBdr>
    </w:div>
    <w:div w:id="948466413">
      <w:bodyDiv w:val="1"/>
      <w:marLeft w:val="0"/>
      <w:marRight w:val="0"/>
      <w:marTop w:val="0"/>
      <w:marBottom w:val="0"/>
      <w:divBdr>
        <w:top w:val="none" w:sz="0" w:space="0" w:color="auto"/>
        <w:left w:val="none" w:sz="0" w:space="0" w:color="auto"/>
        <w:bottom w:val="none" w:sz="0" w:space="0" w:color="auto"/>
        <w:right w:val="none" w:sz="0" w:space="0" w:color="auto"/>
      </w:divBdr>
    </w:div>
    <w:div w:id="951665116">
      <w:bodyDiv w:val="1"/>
      <w:marLeft w:val="0"/>
      <w:marRight w:val="0"/>
      <w:marTop w:val="0"/>
      <w:marBottom w:val="0"/>
      <w:divBdr>
        <w:top w:val="none" w:sz="0" w:space="0" w:color="auto"/>
        <w:left w:val="none" w:sz="0" w:space="0" w:color="auto"/>
        <w:bottom w:val="none" w:sz="0" w:space="0" w:color="auto"/>
        <w:right w:val="none" w:sz="0" w:space="0" w:color="auto"/>
      </w:divBdr>
    </w:div>
    <w:div w:id="953485789">
      <w:bodyDiv w:val="1"/>
      <w:marLeft w:val="0"/>
      <w:marRight w:val="0"/>
      <w:marTop w:val="0"/>
      <w:marBottom w:val="0"/>
      <w:divBdr>
        <w:top w:val="none" w:sz="0" w:space="0" w:color="auto"/>
        <w:left w:val="none" w:sz="0" w:space="0" w:color="auto"/>
        <w:bottom w:val="none" w:sz="0" w:space="0" w:color="auto"/>
        <w:right w:val="none" w:sz="0" w:space="0" w:color="auto"/>
      </w:divBdr>
    </w:div>
    <w:div w:id="957683976">
      <w:bodyDiv w:val="1"/>
      <w:marLeft w:val="0"/>
      <w:marRight w:val="0"/>
      <w:marTop w:val="0"/>
      <w:marBottom w:val="0"/>
      <w:divBdr>
        <w:top w:val="none" w:sz="0" w:space="0" w:color="auto"/>
        <w:left w:val="none" w:sz="0" w:space="0" w:color="auto"/>
        <w:bottom w:val="none" w:sz="0" w:space="0" w:color="auto"/>
        <w:right w:val="none" w:sz="0" w:space="0" w:color="auto"/>
      </w:divBdr>
    </w:div>
    <w:div w:id="973752693">
      <w:bodyDiv w:val="1"/>
      <w:marLeft w:val="0"/>
      <w:marRight w:val="0"/>
      <w:marTop w:val="0"/>
      <w:marBottom w:val="0"/>
      <w:divBdr>
        <w:top w:val="none" w:sz="0" w:space="0" w:color="auto"/>
        <w:left w:val="none" w:sz="0" w:space="0" w:color="auto"/>
        <w:bottom w:val="none" w:sz="0" w:space="0" w:color="auto"/>
        <w:right w:val="none" w:sz="0" w:space="0" w:color="auto"/>
      </w:divBdr>
    </w:div>
    <w:div w:id="974531803">
      <w:bodyDiv w:val="1"/>
      <w:marLeft w:val="0"/>
      <w:marRight w:val="0"/>
      <w:marTop w:val="0"/>
      <w:marBottom w:val="0"/>
      <w:divBdr>
        <w:top w:val="none" w:sz="0" w:space="0" w:color="auto"/>
        <w:left w:val="none" w:sz="0" w:space="0" w:color="auto"/>
        <w:bottom w:val="none" w:sz="0" w:space="0" w:color="auto"/>
        <w:right w:val="none" w:sz="0" w:space="0" w:color="auto"/>
      </w:divBdr>
    </w:div>
    <w:div w:id="982320097">
      <w:bodyDiv w:val="1"/>
      <w:marLeft w:val="0"/>
      <w:marRight w:val="0"/>
      <w:marTop w:val="0"/>
      <w:marBottom w:val="0"/>
      <w:divBdr>
        <w:top w:val="none" w:sz="0" w:space="0" w:color="auto"/>
        <w:left w:val="none" w:sz="0" w:space="0" w:color="auto"/>
        <w:bottom w:val="none" w:sz="0" w:space="0" w:color="auto"/>
        <w:right w:val="none" w:sz="0" w:space="0" w:color="auto"/>
      </w:divBdr>
    </w:div>
    <w:div w:id="1005670024">
      <w:bodyDiv w:val="1"/>
      <w:marLeft w:val="0"/>
      <w:marRight w:val="0"/>
      <w:marTop w:val="0"/>
      <w:marBottom w:val="0"/>
      <w:divBdr>
        <w:top w:val="none" w:sz="0" w:space="0" w:color="auto"/>
        <w:left w:val="none" w:sz="0" w:space="0" w:color="auto"/>
        <w:bottom w:val="none" w:sz="0" w:space="0" w:color="auto"/>
        <w:right w:val="none" w:sz="0" w:space="0" w:color="auto"/>
      </w:divBdr>
    </w:div>
    <w:div w:id="1071460821">
      <w:bodyDiv w:val="1"/>
      <w:marLeft w:val="0"/>
      <w:marRight w:val="0"/>
      <w:marTop w:val="0"/>
      <w:marBottom w:val="0"/>
      <w:divBdr>
        <w:top w:val="none" w:sz="0" w:space="0" w:color="auto"/>
        <w:left w:val="none" w:sz="0" w:space="0" w:color="auto"/>
        <w:bottom w:val="none" w:sz="0" w:space="0" w:color="auto"/>
        <w:right w:val="none" w:sz="0" w:space="0" w:color="auto"/>
      </w:divBdr>
      <w:divsChild>
        <w:div w:id="1411266679">
          <w:marLeft w:val="0"/>
          <w:marRight w:val="0"/>
          <w:marTop w:val="0"/>
          <w:marBottom w:val="0"/>
          <w:divBdr>
            <w:top w:val="none" w:sz="0" w:space="0" w:color="auto"/>
            <w:left w:val="none" w:sz="0" w:space="0" w:color="auto"/>
            <w:bottom w:val="none" w:sz="0" w:space="0" w:color="auto"/>
            <w:right w:val="none" w:sz="0" w:space="0" w:color="auto"/>
          </w:divBdr>
          <w:divsChild>
            <w:div w:id="328410497">
              <w:marLeft w:val="0"/>
              <w:marRight w:val="0"/>
              <w:marTop w:val="0"/>
              <w:marBottom w:val="0"/>
              <w:divBdr>
                <w:top w:val="none" w:sz="0" w:space="0" w:color="auto"/>
                <w:left w:val="none" w:sz="0" w:space="0" w:color="auto"/>
                <w:bottom w:val="none" w:sz="0" w:space="0" w:color="auto"/>
                <w:right w:val="none" w:sz="0" w:space="0" w:color="auto"/>
              </w:divBdr>
              <w:divsChild>
                <w:div w:id="1360275853">
                  <w:marLeft w:val="0"/>
                  <w:marRight w:val="0"/>
                  <w:marTop w:val="0"/>
                  <w:marBottom w:val="0"/>
                  <w:divBdr>
                    <w:top w:val="none" w:sz="0" w:space="0" w:color="auto"/>
                    <w:left w:val="none" w:sz="0" w:space="0" w:color="auto"/>
                    <w:bottom w:val="none" w:sz="0" w:space="0" w:color="auto"/>
                    <w:right w:val="none" w:sz="0" w:space="0" w:color="auto"/>
                  </w:divBdr>
                  <w:divsChild>
                    <w:div w:id="1110508783">
                      <w:marLeft w:val="0"/>
                      <w:marRight w:val="0"/>
                      <w:marTop w:val="0"/>
                      <w:marBottom w:val="0"/>
                      <w:divBdr>
                        <w:top w:val="none" w:sz="0" w:space="0" w:color="auto"/>
                        <w:left w:val="none" w:sz="0" w:space="0" w:color="auto"/>
                        <w:bottom w:val="none" w:sz="0" w:space="0" w:color="auto"/>
                        <w:right w:val="none" w:sz="0" w:space="0" w:color="auto"/>
                      </w:divBdr>
                      <w:divsChild>
                        <w:div w:id="1409814798">
                          <w:marLeft w:val="0"/>
                          <w:marRight w:val="0"/>
                          <w:marTop w:val="0"/>
                          <w:marBottom w:val="0"/>
                          <w:divBdr>
                            <w:top w:val="none" w:sz="0" w:space="0" w:color="auto"/>
                            <w:left w:val="none" w:sz="0" w:space="0" w:color="auto"/>
                            <w:bottom w:val="none" w:sz="0" w:space="0" w:color="auto"/>
                            <w:right w:val="none" w:sz="0" w:space="0" w:color="auto"/>
                          </w:divBdr>
                          <w:divsChild>
                            <w:div w:id="1047142778">
                              <w:marLeft w:val="0"/>
                              <w:marRight w:val="0"/>
                              <w:marTop w:val="0"/>
                              <w:marBottom w:val="0"/>
                              <w:divBdr>
                                <w:top w:val="none" w:sz="0" w:space="0" w:color="auto"/>
                                <w:left w:val="none" w:sz="0" w:space="0" w:color="auto"/>
                                <w:bottom w:val="none" w:sz="0" w:space="0" w:color="auto"/>
                                <w:right w:val="none" w:sz="0" w:space="0" w:color="auto"/>
                              </w:divBdr>
                              <w:divsChild>
                                <w:div w:id="1707097034">
                                  <w:marLeft w:val="0"/>
                                  <w:marRight w:val="0"/>
                                  <w:marTop w:val="0"/>
                                  <w:marBottom w:val="0"/>
                                  <w:divBdr>
                                    <w:top w:val="none" w:sz="0" w:space="0" w:color="auto"/>
                                    <w:left w:val="none" w:sz="0" w:space="0" w:color="auto"/>
                                    <w:bottom w:val="none" w:sz="0" w:space="0" w:color="auto"/>
                                    <w:right w:val="none" w:sz="0" w:space="0" w:color="auto"/>
                                  </w:divBdr>
                                  <w:divsChild>
                                    <w:div w:id="125395430">
                                      <w:marLeft w:val="0"/>
                                      <w:marRight w:val="0"/>
                                      <w:marTop w:val="0"/>
                                      <w:marBottom w:val="0"/>
                                      <w:divBdr>
                                        <w:top w:val="none" w:sz="0" w:space="0" w:color="auto"/>
                                        <w:left w:val="none" w:sz="0" w:space="0" w:color="auto"/>
                                        <w:bottom w:val="none" w:sz="0" w:space="0" w:color="auto"/>
                                        <w:right w:val="none" w:sz="0" w:space="0" w:color="auto"/>
                                      </w:divBdr>
                                      <w:divsChild>
                                        <w:div w:id="704792184">
                                          <w:marLeft w:val="0"/>
                                          <w:marRight w:val="0"/>
                                          <w:marTop w:val="0"/>
                                          <w:marBottom w:val="0"/>
                                          <w:divBdr>
                                            <w:top w:val="none" w:sz="0" w:space="0" w:color="auto"/>
                                            <w:left w:val="none" w:sz="0" w:space="0" w:color="auto"/>
                                            <w:bottom w:val="none" w:sz="0" w:space="0" w:color="auto"/>
                                            <w:right w:val="none" w:sz="0" w:space="0" w:color="auto"/>
                                          </w:divBdr>
                                          <w:divsChild>
                                            <w:div w:id="1862813145">
                                              <w:marLeft w:val="0"/>
                                              <w:marRight w:val="0"/>
                                              <w:marTop w:val="0"/>
                                              <w:marBottom w:val="0"/>
                                              <w:divBdr>
                                                <w:top w:val="none" w:sz="0" w:space="0" w:color="auto"/>
                                                <w:left w:val="none" w:sz="0" w:space="0" w:color="auto"/>
                                                <w:bottom w:val="none" w:sz="0" w:space="0" w:color="auto"/>
                                                <w:right w:val="none" w:sz="0" w:space="0" w:color="auto"/>
                                              </w:divBdr>
                                              <w:divsChild>
                                                <w:div w:id="1921987937">
                                                  <w:marLeft w:val="0"/>
                                                  <w:marRight w:val="0"/>
                                                  <w:marTop w:val="0"/>
                                                  <w:marBottom w:val="0"/>
                                                  <w:divBdr>
                                                    <w:top w:val="none" w:sz="0" w:space="0" w:color="auto"/>
                                                    <w:left w:val="none" w:sz="0" w:space="0" w:color="auto"/>
                                                    <w:bottom w:val="none" w:sz="0" w:space="0" w:color="auto"/>
                                                    <w:right w:val="none" w:sz="0" w:space="0" w:color="auto"/>
                                                  </w:divBdr>
                                                  <w:divsChild>
                                                    <w:div w:id="965542862">
                                                      <w:marLeft w:val="0"/>
                                                      <w:marRight w:val="0"/>
                                                      <w:marTop w:val="0"/>
                                                      <w:marBottom w:val="0"/>
                                                      <w:divBdr>
                                                        <w:top w:val="none" w:sz="0" w:space="0" w:color="auto"/>
                                                        <w:left w:val="none" w:sz="0" w:space="0" w:color="auto"/>
                                                        <w:bottom w:val="none" w:sz="0" w:space="0" w:color="auto"/>
                                                        <w:right w:val="none" w:sz="0" w:space="0" w:color="auto"/>
                                                      </w:divBdr>
                                                      <w:divsChild>
                                                        <w:div w:id="432090120">
                                                          <w:marLeft w:val="0"/>
                                                          <w:marRight w:val="0"/>
                                                          <w:marTop w:val="0"/>
                                                          <w:marBottom w:val="0"/>
                                                          <w:divBdr>
                                                            <w:top w:val="none" w:sz="0" w:space="0" w:color="auto"/>
                                                            <w:left w:val="none" w:sz="0" w:space="0" w:color="auto"/>
                                                            <w:bottom w:val="none" w:sz="0" w:space="0" w:color="auto"/>
                                                            <w:right w:val="none" w:sz="0" w:space="0" w:color="auto"/>
                                                          </w:divBdr>
                                                          <w:divsChild>
                                                            <w:div w:id="553935102">
                                                              <w:marLeft w:val="0"/>
                                                              <w:marRight w:val="0"/>
                                                              <w:marTop w:val="0"/>
                                                              <w:marBottom w:val="0"/>
                                                              <w:divBdr>
                                                                <w:top w:val="none" w:sz="0" w:space="0" w:color="auto"/>
                                                                <w:left w:val="none" w:sz="0" w:space="0" w:color="auto"/>
                                                                <w:bottom w:val="none" w:sz="0" w:space="0" w:color="auto"/>
                                                                <w:right w:val="none" w:sz="0" w:space="0" w:color="auto"/>
                                                              </w:divBdr>
                                                              <w:divsChild>
                                                                <w:div w:id="1315910547">
                                                                  <w:marLeft w:val="0"/>
                                                                  <w:marRight w:val="0"/>
                                                                  <w:marTop w:val="0"/>
                                                                  <w:marBottom w:val="0"/>
                                                                  <w:divBdr>
                                                                    <w:top w:val="none" w:sz="0" w:space="0" w:color="auto"/>
                                                                    <w:left w:val="none" w:sz="0" w:space="0" w:color="auto"/>
                                                                    <w:bottom w:val="none" w:sz="0" w:space="0" w:color="auto"/>
                                                                    <w:right w:val="none" w:sz="0" w:space="0" w:color="auto"/>
                                                                  </w:divBdr>
                                                                  <w:divsChild>
                                                                    <w:div w:id="2146776780">
                                                                      <w:marLeft w:val="0"/>
                                                                      <w:marRight w:val="0"/>
                                                                      <w:marTop w:val="0"/>
                                                                      <w:marBottom w:val="0"/>
                                                                      <w:divBdr>
                                                                        <w:top w:val="none" w:sz="0" w:space="0" w:color="auto"/>
                                                                        <w:left w:val="none" w:sz="0" w:space="0" w:color="auto"/>
                                                                        <w:bottom w:val="none" w:sz="0" w:space="0" w:color="auto"/>
                                                                        <w:right w:val="none" w:sz="0" w:space="0" w:color="auto"/>
                                                                      </w:divBdr>
                                                                      <w:divsChild>
                                                                        <w:div w:id="1319919793">
                                                                          <w:marLeft w:val="0"/>
                                                                          <w:marRight w:val="0"/>
                                                                          <w:marTop w:val="0"/>
                                                                          <w:marBottom w:val="0"/>
                                                                          <w:divBdr>
                                                                            <w:top w:val="none" w:sz="0" w:space="0" w:color="auto"/>
                                                                            <w:left w:val="none" w:sz="0" w:space="0" w:color="auto"/>
                                                                            <w:bottom w:val="none" w:sz="0" w:space="0" w:color="auto"/>
                                                                            <w:right w:val="none" w:sz="0" w:space="0" w:color="auto"/>
                                                                          </w:divBdr>
                                                                          <w:divsChild>
                                                                            <w:div w:id="341203182">
                                                                              <w:marLeft w:val="0"/>
                                                                              <w:marRight w:val="0"/>
                                                                              <w:marTop w:val="0"/>
                                                                              <w:marBottom w:val="0"/>
                                                                              <w:divBdr>
                                                                                <w:top w:val="none" w:sz="0" w:space="0" w:color="auto"/>
                                                                                <w:left w:val="none" w:sz="0" w:space="0" w:color="auto"/>
                                                                                <w:bottom w:val="none" w:sz="0" w:space="0" w:color="auto"/>
                                                                                <w:right w:val="none" w:sz="0" w:space="0" w:color="auto"/>
                                                                              </w:divBdr>
                                                                              <w:divsChild>
                                                                                <w:div w:id="1244143118">
                                                                                  <w:marLeft w:val="0"/>
                                                                                  <w:marRight w:val="0"/>
                                                                                  <w:marTop w:val="0"/>
                                                                                  <w:marBottom w:val="0"/>
                                                                                  <w:divBdr>
                                                                                    <w:top w:val="none" w:sz="0" w:space="0" w:color="auto"/>
                                                                                    <w:left w:val="none" w:sz="0" w:space="0" w:color="auto"/>
                                                                                    <w:bottom w:val="none" w:sz="0" w:space="0" w:color="auto"/>
                                                                                    <w:right w:val="none" w:sz="0" w:space="0" w:color="auto"/>
                                                                                  </w:divBdr>
                                                                                  <w:divsChild>
                                                                                    <w:div w:id="1858539800">
                                                                                      <w:marLeft w:val="0"/>
                                                                                      <w:marRight w:val="0"/>
                                                                                      <w:marTop w:val="0"/>
                                                                                      <w:marBottom w:val="0"/>
                                                                                      <w:divBdr>
                                                                                        <w:top w:val="single" w:sz="6" w:space="0" w:color="A7B3BD"/>
                                                                                        <w:left w:val="none" w:sz="0" w:space="0" w:color="auto"/>
                                                                                        <w:bottom w:val="none" w:sz="0" w:space="0" w:color="auto"/>
                                                                                        <w:right w:val="none" w:sz="0" w:space="0" w:color="auto"/>
                                                                                      </w:divBdr>
                                                                                      <w:divsChild>
                                                                                        <w:div w:id="45952101">
                                                                                          <w:marLeft w:val="0"/>
                                                                                          <w:marRight w:val="0"/>
                                                                                          <w:marTop w:val="0"/>
                                                                                          <w:marBottom w:val="0"/>
                                                                                          <w:divBdr>
                                                                                            <w:top w:val="none" w:sz="0" w:space="0" w:color="auto"/>
                                                                                            <w:left w:val="none" w:sz="0" w:space="0" w:color="auto"/>
                                                                                            <w:bottom w:val="none" w:sz="0" w:space="0" w:color="auto"/>
                                                                                            <w:right w:val="none" w:sz="0" w:space="0" w:color="auto"/>
                                                                                          </w:divBdr>
                                                                                        </w:div>
                                                                                        <w:div w:id="852230314">
                                                                                          <w:marLeft w:val="0"/>
                                                                                          <w:marRight w:val="0"/>
                                                                                          <w:marTop w:val="0"/>
                                                                                          <w:marBottom w:val="0"/>
                                                                                          <w:divBdr>
                                                                                            <w:top w:val="none" w:sz="0" w:space="0" w:color="auto"/>
                                                                                            <w:left w:val="none" w:sz="0" w:space="0" w:color="auto"/>
                                                                                            <w:bottom w:val="none" w:sz="0" w:space="0" w:color="auto"/>
                                                                                            <w:right w:val="none" w:sz="0" w:space="0" w:color="auto"/>
                                                                                          </w:divBdr>
                                                                                        </w:div>
                                                                                        <w:div w:id="884565696">
                                                                                          <w:marLeft w:val="0"/>
                                                                                          <w:marRight w:val="0"/>
                                                                                          <w:marTop w:val="0"/>
                                                                                          <w:marBottom w:val="0"/>
                                                                                          <w:divBdr>
                                                                                            <w:top w:val="none" w:sz="0" w:space="0" w:color="auto"/>
                                                                                            <w:left w:val="none" w:sz="0" w:space="0" w:color="auto"/>
                                                                                            <w:bottom w:val="none" w:sz="0" w:space="0" w:color="auto"/>
                                                                                            <w:right w:val="none" w:sz="0" w:space="0" w:color="auto"/>
                                                                                          </w:divBdr>
                                                                                        </w:div>
                                                                                        <w:div w:id="1405490579">
                                                                                          <w:marLeft w:val="0"/>
                                                                                          <w:marRight w:val="0"/>
                                                                                          <w:marTop w:val="0"/>
                                                                                          <w:marBottom w:val="0"/>
                                                                                          <w:divBdr>
                                                                                            <w:top w:val="none" w:sz="0" w:space="0" w:color="auto"/>
                                                                                            <w:left w:val="none" w:sz="0" w:space="0" w:color="auto"/>
                                                                                            <w:bottom w:val="none" w:sz="0" w:space="0" w:color="auto"/>
                                                                                            <w:right w:val="none" w:sz="0" w:space="0" w:color="auto"/>
                                                                                          </w:divBdr>
                                                                                        </w:div>
                                                                                        <w:div w:id="21136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312568">
      <w:bodyDiv w:val="1"/>
      <w:marLeft w:val="0"/>
      <w:marRight w:val="0"/>
      <w:marTop w:val="0"/>
      <w:marBottom w:val="0"/>
      <w:divBdr>
        <w:top w:val="none" w:sz="0" w:space="0" w:color="auto"/>
        <w:left w:val="none" w:sz="0" w:space="0" w:color="auto"/>
        <w:bottom w:val="none" w:sz="0" w:space="0" w:color="auto"/>
        <w:right w:val="none" w:sz="0" w:space="0" w:color="auto"/>
      </w:divBdr>
    </w:div>
    <w:div w:id="1117796227">
      <w:bodyDiv w:val="1"/>
      <w:marLeft w:val="0"/>
      <w:marRight w:val="0"/>
      <w:marTop w:val="0"/>
      <w:marBottom w:val="0"/>
      <w:divBdr>
        <w:top w:val="none" w:sz="0" w:space="0" w:color="auto"/>
        <w:left w:val="none" w:sz="0" w:space="0" w:color="auto"/>
        <w:bottom w:val="none" w:sz="0" w:space="0" w:color="auto"/>
        <w:right w:val="none" w:sz="0" w:space="0" w:color="auto"/>
      </w:divBdr>
    </w:div>
    <w:div w:id="1189221504">
      <w:bodyDiv w:val="1"/>
      <w:marLeft w:val="0"/>
      <w:marRight w:val="0"/>
      <w:marTop w:val="0"/>
      <w:marBottom w:val="0"/>
      <w:divBdr>
        <w:top w:val="none" w:sz="0" w:space="0" w:color="auto"/>
        <w:left w:val="none" w:sz="0" w:space="0" w:color="auto"/>
        <w:bottom w:val="none" w:sz="0" w:space="0" w:color="auto"/>
        <w:right w:val="none" w:sz="0" w:space="0" w:color="auto"/>
      </w:divBdr>
    </w:div>
    <w:div w:id="1218277035">
      <w:bodyDiv w:val="1"/>
      <w:marLeft w:val="0"/>
      <w:marRight w:val="0"/>
      <w:marTop w:val="0"/>
      <w:marBottom w:val="0"/>
      <w:divBdr>
        <w:top w:val="none" w:sz="0" w:space="0" w:color="auto"/>
        <w:left w:val="none" w:sz="0" w:space="0" w:color="auto"/>
        <w:bottom w:val="none" w:sz="0" w:space="0" w:color="auto"/>
        <w:right w:val="none" w:sz="0" w:space="0" w:color="auto"/>
      </w:divBdr>
    </w:div>
    <w:div w:id="1236745490">
      <w:bodyDiv w:val="1"/>
      <w:marLeft w:val="0"/>
      <w:marRight w:val="0"/>
      <w:marTop w:val="0"/>
      <w:marBottom w:val="0"/>
      <w:divBdr>
        <w:top w:val="none" w:sz="0" w:space="0" w:color="auto"/>
        <w:left w:val="none" w:sz="0" w:space="0" w:color="auto"/>
        <w:bottom w:val="none" w:sz="0" w:space="0" w:color="auto"/>
        <w:right w:val="none" w:sz="0" w:space="0" w:color="auto"/>
      </w:divBdr>
    </w:div>
    <w:div w:id="1251045081">
      <w:bodyDiv w:val="1"/>
      <w:marLeft w:val="0"/>
      <w:marRight w:val="0"/>
      <w:marTop w:val="0"/>
      <w:marBottom w:val="0"/>
      <w:divBdr>
        <w:top w:val="none" w:sz="0" w:space="0" w:color="auto"/>
        <w:left w:val="none" w:sz="0" w:space="0" w:color="auto"/>
        <w:bottom w:val="none" w:sz="0" w:space="0" w:color="auto"/>
        <w:right w:val="none" w:sz="0" w:space="0" w:color="auto"/>
      </w:divBdr>
    </w:div>
    <w:div w:id="1319386030">
      <w:bodyDiv w:val="1"/>
      <w:marLeft w:val="0"/>
      <w:marRight w:val="0"/>
      <w:marTop w:val="0"/>
      <w:marBottom w:val="0"/>
      <w:divBdr>
        <w:top w:val="none" w:sz="0" w:space="0" w:color="auto"/>
        <w:left w:val="none" w:sz="0" w:space="0" w:color="auto"/>
        <w:bottom w:val="none" w:sz="0" w:space="0" w:color="auto"/>
        <w:right w:val="none" w:sz="0" w:space="0" w:color="auto"/>
      </w:divBdr>
    </w:div>
    <w:div w:id="1373774330">
      <w:bodyDiv w:val="1"/>
      <w:marLeft w:val="0"/>
      <w:marRight w:val="0"/>
      <w:marTop w:val="0"/>
      <w:marBottom w:val="0"/>
      <w:divBdr>
        <w:top w:val="none" w:sz="0" w:space="0" w:color="auto"/>
        <w:left w:val="none" w:sz="0" w:space="0" w:color="auto"/>
        <w:bottom w:val="none" w:sz="0" w:space="0" w:color="auto"/>
        <w:right w:val="none" w:sz="0" w:space="0" w:color="auto"/>
      </w:divBdr>
    </w:div>
    <w:div w:id="1415399090">
      <w:bodyDiv w:val="1"/>
      <w:marLeft w:val="0"/>
      <w:marRight w:val="0"/>
      <w:marTop w:val="0"/>
      <w:marBottom w:val="0"/>
      <w:divBdr>
        <w:top w:val="none" w:sz="0" w:space="0" w:color="auto"/>
        <w:left w:val="none" w:sz="0" w:space="0" w:color="auto"/>
        <w:bottom w:val="none" w:sz="0" w:space="0" w:color="auto"/>
        <w:right w:val="none" w:sz="0" w:space="0" w:color="auto"/>
      </w:divBdr>
    </w:div>
    <w:div w:id="1441951999">
      <w:bodyDiv w:val="1"/>
      <w:marLeft w:val="0"/>
      <w:marRight w:val="0"/>
      <w:marTop w:val="0"/>
      <w:marBottom w:val="0"/>
      <w:divBdr>
        <w:top w:val="none" w:sz="0" w:space="0" w:color="auto"/>
        <w:left w:val="none" w:sz="0" w:space="0" w:color="auto"/>
        <w:bottom w:val="none" w:sz="0" w:space="0" w:color="auto"/>
        <w:right w:val="none" w:sz="0" w:space="0" w:color="auto"/>
      </w:divBdr>
    </w:div>
    <w:div w:id="1446079182">
      <w:bodyDiv w:val="1"/>
      <w:marLeft w:val="0"/>
      <w:marRight w:val="0"/>
      <w:marTop w:val="0"/>
      <w:marBottom w:val="0"/>
      <w:divBdr>
        <w:top w:val="none" w:sz="0" w:space="0" w:color="auto"/>
        <w:left w:val="none" w:sz="0" w:space="0" w:color="auto"/>
        <w:bottom w:val="none" w:sz="0" w:space="0" w:color="auto"/>
        <w:right w:val="none" w:sz="0" w:space="0" w:color="auto"/>
      </w:divBdr>
    </w:div>
    <w:div w:id="1459835361">
      <w:bodyDiv w:val="1"/>
      <w:marLeft w:val="0"/>
      <w:marRight w:val="0"/>
      <w:marTop w:val="0"/>
      <w:marBottom w:val="0"/>
      <w:divBdr>
        <w:top w:val="none" w:sz="0" w:space="0" w:color="auto"/>
        <w:left w:val="none" w:sz="0" w:space="0" w:color="auto"/>
        <w:bottom w:val="none" w:sz="0" w:space="0" w:color="auto"/>
        <w:right w:val="none" w:sz="0" w:space="0" w:color="auto"/>
      </w:divBdr>
    </w:div>
    <w:div w:id="1474441932">
      <w:bodyDiv w:val="1"/>
      <w:marLeft w:val="0"/>
      <w:marRight w:val="0"/>
      <w:marTop w:val="0"/>
      <w:marBottom w:val="0"/>
      <w:divBdr>
        <w:top w:val="none" w:sz="0" w:space="0" w:color="auto"/>
        <w:left w:val="none" w:sz="0" w:space="0" w:color="auto"/>
        <w:bottom w:val="none" w:sz="0" w:space="0" w:color="auto"/>
        <w:right w:val="none" w:sz="0" w:space="0" w:color="auto"/>
      </w:divBdr>
    </w:div>
    <w:div w:id="1486778351">
      <w:bodyDiv w:val="1"/>
      <w:marLeft w:val="0"/>
      <w:marRight w:val="0"/>
      <w:marTop w:val="0"/>
      <w:marBottom w:val="0"/>
      <w:divBdr>
        <w:top w:val="none" w:sz="0" w:space="0" w:color="auto"/>
        <w:left w:val="none" w:sz="0" w:space="0" w:color="auto"/>
        <w:bottom w:val="none" w:sz="0" w:space="0" w:color="auto"/>
        <w:right w:val="none" w:sz="0" w:space="0" w:color="auto"/>
      </w:divBdr>
    </w:div>
    <w:div w:id="1511682601">
      <w:bodyDiv w:val="1"/>
      <w:marLeft w:val="0"/>
      <w:marRight w:val="0"/>
      <w:marTop w:val="0"/>
      <w:marBottom w:val="0"/>
      <w:divBdr>
        <w:top w:val="none" w:sz="0" w:space="0" w:color="auto"/>
        <w:left w:val="none" w:sz="0" w:space="0" w:color="auto"/>
        <w:bottom w:val="none" w:sz="0" w:space="0" w:color="auto"/>
        <w:right w:val="none" w:sz="0" w:space="0" w:color="auto"/>
      </w:divBdr>
    </w:div>
    <w:div w:id="1631325818">
      <w:bodyDiv w:val="1"/>
      <w:marLeft w:val="0"/>
      <w:marRight w:val="0"/>
      <w:marTop w:val="0"/>
      <w:marBottom w:val="0"/>
      <w:divBdr>
        <w:top w:val="none" w:sz="0" w:space="0" w:color="auto"/>
        <w:left w:val="none" w:sz="0" w:space="0" w:color="auto"/>
        <w:bottom w:val="none" w:sz="0" w:space="0" w:color="auto"/>
        <w:right w:val="none" w:sz="0" w:space="0" w:color="auto"/>
      </w:divBdr>
    </w:div>
    <w:div w:id="1717243138">
      <w:bodyDiv w:val="1"/>
      <w:marLeft w:val="0"/>
      <w:marRight w:val="0"/>
      <w:marTop w:val="0"/>
      <w:marBottom w:val="0"/>
      <w:divBdr>
        <w:top w:val="none" w:sz="0" w:space="0" w:color="auto"/>
        <w:left w:val="none" w:sz="0" w:space="0" w:color="auto"/>
        <w:bottom w:val="none" w:sz="0" w:space="0" w:color="auto"/>
        <w:right w:val="none" w:sz="0" w:space="0" w:color="auto"/>
      </w:divBdr>
    </w:div>
    <w:div w:id="1736007267">
      <w:bodyDiv w:val="1"/>
      <w:marLeft w:val="0"/>
      <w:marRight w:val="0"/>
      <w:marTop w:val="0"/>
      <w:marBottom w:val="0"/>
      <w:divBdr>
        <w:top w:val="none" w:sz="0" w:space="0" w:color="auto"/>
        <w:left w:val="none" w:sz="0" w:space="0" w:color="auto"/>
        <w:bottom w:val="none" w:sz="0" w:space="0" w:color="auto"/>
        <w:right w:val="none" w:sz="0" w:space="0" w:color="auto"/>
      </w:divBdr>
    </w:div>
    <w:div w:id="1750039488">
      <w:bodyDiv w:val="1"/>
      <w:marLeft w:val="0"/>
      <w:marRight w:val="0"/>
      <w:marTop w:val="0"/>
      <w:marBottom w:val="0"/>
      <w:divBdr>
        <w:top w:val="none" w:sz="0" w:space="0" w:color="auto"/>
        <w:left w:val="none" w:sz="0" w:space="0" w:color="auto"/>
        <w:bottom w:val="none" w:sz="0" w:space="0" w:color="auto"/>
        <w:right w:val="none" w:sz="0" w:space="0" w:color="auto"/>
      </w:divBdr>
    </w:div>
    <w:div w:id="1787046138">
      <w:bodyDiv w:val="1"/>
      <w:marLeft w:val="0"/>
      <w:marRight w:val="0"/>
      <w:marTop w:val="0"/>
      <w:marBottom w:val="0"/>
      <w:divBdr>
        <w:top w:val="none" w:sz="0" w:space="0" w:color="auto"/>
        <w:left w:val="none" w:sz="0" w:space="0" w:color="auto"/>
        <w:bottom w:val="none" w:sz="0" w:space="0" w:color="auto"/>
        <w:right w:val="none" w:sz="0" w:space="0" w:color="auto"/>
      </w:divBdr>
    </w:div>
    <w:div w:id="1807620143">
      <w:bodyDiv w:val="1"/>
      <w:marLeft w:val="0"/>
      <w:marRight w:val="0"/>
      <w:marTop w:val="0"/>
      <w:marBottom w:val="0"/>
      <w:divBdr>
        <w:top w:val="none" w:sz="0" w:space="0" w:color="auto"/>
        <w:left w:val="none" w:sz="0" w:space="0" w:color="auto"/>
        <w:bottom w:val="none" w:sz="0" w:space="0" w:color="auto"/>
        <w:right w:val="none" w:sz="0" w:space="0" w:color="auto"/>
      </w:divBdr>
      <w:divsChild>
        <w:div w:id="1621108341">
          <w:marLeft w:val="0"/>
          <w:marRight w:val="0"/>
          <w:marTop w:val="0"/>
          <w:marBottom w:val="0"/>
          <w:divBdr>
            <w:top w:val="none" w:sz="0" w:space="0" w:color="auto"/>
            <w:left w:val="none" w:sz="0" w:space="0" w:color="auto"/>
            <w:bottom w:val="none" w:sz="0" w:space="0" w:color="auto"/>
            <w:right w:val="none" w:sz="0" w:space="0" w:color="auto"/>
          </w:divBdr>
          <w:divsChild>
            <w:div w:id="1059670284">
              <w:marLeft w:val="0"/>
              <w:marRight w:val="0"/>
              <w:marTop w:val="0"/>
              <w:marBottom w:val="0"/>
              <w:divBdr>
                <w:top w:val="none" w:sz="0" w:space="0" w:color="auto"/>
                <w:left w:val="none" w:sz="0" w:space="0" w:color="auto"/>
                <w:bottom w:val="none" w:sz="0" w:space="0" w:color="auto"/>
                <w:right w:val="none" w:sz="0" w:space="0" w:color="auto"/>
              </w:divBdr>
              <w:divsChild>
                <w:div w:id="945769475">
                  <w:marLeft w:val="0"/>
                  <w:marRight w:val="0"/>
                  <w:marTop w:val="0"/>
                  <w:marBottom w:val="0"/>
                  <w:divBdr>
                    <w:top w:val="none" w:sz="0" w:space="0" w:color="auto"/>
                    <w:left w:val="none" w:sz="0" w:space="0" w:color="auto"/>
                    <w:bottom w:val="none" w:sz="0" w:space="0" w:color="auto"/>
                    <w:right w:val="none" w:sz="0" w:space="0" w:color="auto"/>
                  </w:divBdr>
                  <w:divsChild>
                    <w:div w:id="1372537795">
                      <w:marLeft w:val="0"/>
                      <w:marRight w:val="0"/>
                      <w:marTop w:val="0"/>
                      <w:marBottom w:val="0"/>
                      <w:divBdr>
                        <w:top w:val="none" w:sz="0" w:space="0" w:color="auto"/>
                        <w:left w:val="none" w:sz="0" w:space="0" w:color="auto"/>
                        <w:bottom w:val="none" w:sz="0" w:space="0" w:color="auto"/>
                        <w:right w:val="none" w:sz="0" w:space="0" w:color="auto"/>
                      </w:divBdr>
                      <w:divsChild>
                        <w:div w:id="1160392569">
                          <w:marLeft w:val="0"/>
                          <w:marRight w:val="0"/>
                          <w:marTop w:val="0"/>
                          <w:marBottom w:val="0"/>
                          <w:divBdr>
                            <w:top w:val="none" w:sz="0" w:space="0" w:color="auto"/>
                            <w:left w:val="none" w:sz="0" w:space="0" w:color="auto"/>
                            <w:bottom w:val="none" w:sz="0" w:space="0" w:color="auto"/>
                            <w:right w:val="none" w:sz="0" w:space="0" w:color="auto"/>
                          </w:divBdr>
                          <w:divsChild>
                            <w:div w:id="146940585">
                              <w:marLeft w:val="0"/>
                              <w:marRight w:val="0"/>
                              <w:marTop w:val="0"/>
                              <w:marBottom w:val="0"/>
                              <w:divBdr>
                                <w:top w:val="none" w:sz="0" w:space="0" w:color="auto"/>
                                <w:left w:val="none" w:sz="0" w:space="0" w:color="auto"/>
                                <w:bottom w:val="none" w:sz="0" w:space="0" w:color="auto"/>
                                <w:right w:val="none" w:sz="0" w:space="0" w:color="auto"/>
                              </w:divBdr>
                              <w:divsChild>
                                <w:div w:id="73674532">
                                  <w:marLeft w:val="0"/>
                                  <w:marRight w:val="0"/>
                                  <w:marTop w:val="0"/>
                                  <w:marBottom w:val="0"/>
                                  <w:divBdr>
                                    <w:top w:val="none" w:sz="0" w:space="0" w:color="auto"/>
                                    <w:left w:val="none" w:sz="0" w:space="0" w:color="auto"/>
                                    <w:bottom w:val="none" w:sz="0" w:space="0" w:color="auto"/>
                                    <w:right w:val="none" w:sz="0" w:space="0" w:color="auto"/>
                                  </w:divBdr>
                                  <w:divsChild>
                                    <w:div w:id="130490494">
                                      <w:marLeft w:val="0"/>
                                      <w:marRight w:val="0"/>
                                      <w:marTop w:val="0"/>
                                      <w:marBottom w:val="0"/>
                                      <w:divBdr>
                                        <w:top w:val="none" w:sz="0" w:space="0" w:color="auto"/>
                                        <w:left w:val="none" w:sz="0" w:space="0" w:color="auto"/>
                                        <w:bottom w:val="none" w:sz="0" w:space="0" w:color="auto"/>
                                        <w:right w:val="none" w:sz="0" w:space="0" w:color="auto"/>
                                      </w:divBdr>
                                      <w:divsChild>
                                        <w:div w:id="1324510916">
                                          <w:marLeft w:val="0"/>
                                          <w:marRight w:val="0"/>
                                          <w:marTop w:val="0"/>
                                          <w:marBottom w:val="0"/>
                                          <w:divBdr>
                                            <w:top w:val="none" w:sz="0" w:space="0" w:color="auto"/>
                                            <w:left w:val="none" w:sz="0" w:space="0" w:color="auto"/>
                                            <w:bottom w:val="none" w:sz="0" w:space="0" w:color="auto"/>
                                            <w:right w:val="none" w:sz="0" w:space="0" w:color="auto"/>
                                          </w:divBdr>
                                          <w:divsChild>
                                            <w:div w:id="1140654456">
                                              <w:marLeft w:val="0"/>
                                              <w:marRight w:val="0"/>
                                              <w:marTop w:val="0"/>
                                              <w:marBottom w:val="0"/>
                                              <w:divBdr>
                                                <w:top w:val="none" w:sz="0" w:space="0" w:color="auto"/>
                                                <w:left w:val="none" w:sz="0" w:space="0" w:color="auto"/>
                                                <w:bottom w:val="none" w:sz="0" w:space="0" w:color="auto"/>
                                                <w:right w:val="none" w:sz="0" w:space="0" w:color="auto"/>
                                              </w:divBdr>
                                              <w:divsChild>
                                                <w:div w:id="549197650">
                                                  <w:marLeft w:val="0"/>
                                                  <w:marRight w:val="0"/>
                                                  <w:marTop w:val="0"/>
                                                  <w:marBottom w:val="0"/>
                                                  <w:divBdr>
                                                    <w:top w:val="none" w:sz="0" w:space="0" w:color="auto"/>
                                                    <w:left w:val="none" w:sz="0" w:space="0" w:color="auto"/>
                                                    <w:bottom w:val="none" w:sz="0" w:space="0" w:color="auto"/>
                                                    <w:right w:val="none" w:sz="0" w:space="0" w:color="auto"/>
                                                  </w:divBdr>
                                                  <w:divsChild>
                                                    <w:div w:id="529413825">
                                                      <w:marLeft w:val="0"/>
                                                      <w:marRight w:val="0"/>
                                                      <w:marTop w:val="0"/>
                                                      <w:marBottom w:val="0"/>
                                                      <w:divBdr>
                                                        <w:top w:val="none" w:sz="0" w:space="0" w:color="auto"/>
                                                        <w:left w:val="none" w:sz="0" w:space="0" w:color="auto"/>
                                                        <w:bottom w:val="none" w:sz="0" w:space="0" w:color="auto"/>
                                                        <w:right w:val="none" w:sz="0" w:space="0" w:color="auto"/>
                                                      </w:divBdr>
                                                      <w:divsChild>
                                                        <w:div w:id="1309435685">
                                                          <w:marLeft w:val="0"/>
                                                          <w:marRight w:val="0"/>
                                                          <w:marTop w:val="0"/>
                                                          <w:marBottom w:val="0"/>
                                                          <w:divBdr>
                                                            <w:top w:val="none" w:sz="0" w:space="0" w:color="auto"/>
                                                            <w:left w:val="none" w:sz="0" w:space="0" w:color="auto"/>
                                                            <w:bottom w:val="none" w:sz="0" w:space="0" w:color="auto"/>
                                                            <w:right w:val="none" w:sz="0" w:space="0" w:color="auto"/>
                                                          </w:divBdr>
                                                          <w:divsChild>
                                                            <w:div w:id="1448281944">
                                                              <w:marLeft w:val="0"/>
                                                              <w:marRight w:val="0"/>
                                                              <w:marTop w:val="0"/>
                                                              <w:marBottom w:val="0"/>
                                                              <w:divBdr>
                                                                <w:top w:val="none" w:sz="0" w:space="0" w:color="auto"/>
                                                                <w:left w:val="none" w:sz="0" w:space="0" w:color="auto"/>
                                                                <w:bottom w:val="none" w:sz="0" w:space="0" w:color="auto"/>
                                                                <w:right w:val="none" w:sz="0" w:space="0" w:color="auto"/>
                                                              </w:divBdr>
                                                              <w:divsChild>
                                                                <w:div w:id="1328097175">
                                                                  <w:marLeft w:val="0"/>
                                                                  <w:marRight w:val="0"/>
                                                                  <w:marTop w:val="0"/>
                                                                  <w:marBottom w:val="0"/>
                                                                  <w:divBdr>
                                                                    <w:top w:val="none" w:sz="0" w:space="0" w:color="auto"/>
                                                                    <w:left w:val="none" w:sz="0" w:space="0" w:color="auto"/>
                                                                    <w:bottom w:val="none" w:sz="0" w:space="0" w:color="auto"/>
                                                                    <w:right w:val="none" w:sz="0" w:space="0" w:color="auto"/>
                                                                  </w:divBdr>
                                                                  <w:divsChild>
                                                                    <w:div w:id="982732100">
                                                                      <w:marLeft w:val="0"/>
                                                                      <w:marRight w:val="0"/>
                                                                      <w:marTop w:val="0"/>
                                                                      <w:marBottom w:val="0"/>
                                                                      <w:divBdr>
                                                                        <w:top w:val="none" w:sz="0" w:space="0" w:color="auto"/>
                                                                        <w:left w:val="none" w:sz="0" w:space="0" w:color="auto"/>
                                                                        <w:bottom w:val="none" w:sz="0" w:space="0" w:color="auto"/>
                                                                        <w:right w:val="none" w:sz="0" w:space="0" w:color="auto"/>
                                                                      </w:divBdr>
                                                                      <w:divsChild>
                                                                        <w:div w:id="983779571">
                                                                          <w:marLeft w:val="0"/>
                                                                          <w:marRight w:val="0"/>
                                                                          <w:marTop w:val="0"/>
                                                                          <w:marBottom w:val="0"/>
                                                                          <w:divBdr>
                                                                            <w:top w:val="none" w:sz="0" w:space="0" w:color="auto"/>
                                                                            <w:left w:val="none" w:sz="0" w:space="0" w:color="auto"/>
                                                                            <w:bottom w:val="none" w:sz="0" w:space="0" w:color="auto"/>
                                                                            <w:right w:val="none" w:sz="0" w:space="0" w:color="auto"/>
                                                                          </w:divBdr>
                                                                          <w:divsChild>
                                                                            <w:div w:id="157120652">
                                                                              <w:marLeft w:val="0"/>
                                                                              <w:marRight w:val="0"/>
                                                                              <w:marTop w:val="0"/>
                                                                              <w:marBottom w:val="0"/>
                                                                              <w:divBdr>
                                                                                <w:top w:val="none" w:sz="0" w:space="0" w:color="auto"/>
                                                                                <w:left w:val="none" w:sz="0" w:space="0" w:color="auto"/>
                                                                                <w:bottom w:val="none" w:sz="0" w:space="0" w:color="auto"/>
                                                                                <w:right w:val="none" w:sz="0" w:space="0" w:color="auto"/>
                                                                              </w:divBdr>
                                                                              <w:divsChild>
                                                                                <w:div w:id="909728454">
                                                                                  <w:marLeft w:val="0"/>
                                                                                  <w:marRight w:val="0"/>
                                                                                  <w:marTop w:val="0"/>
                                                                                  <w:marBottom w:val="0"/>
                                                                                  <w:divBdr>
                                                                                    <w:top w:val="none" w:sz="0" w:space="0" w:color="auto"/>
                                                                                    <w:left w:val="none" w:sz="0" w:space="0" w:color="auto"/>
                                                                                    <w:bottom w:val="none" w:sz="0" w:space="0" w:color="auto"/>
                                                                                    <w:right w:val="none" w:sz="0" w:space="0" w:color="auto"/>
                                                                                  </w:divBdr>
                                                                                  <w:divsChild>
                                                                                    <w:div w:id="493885123">
                                                                                      <w:marLeft w:val="0"/>
                                                                                      <w:marRight w:val="0"/>
                                                                                      <w:marTop w:val="0"/>
                                                                                      <w:marBottom w:val="0"/>
                                                                                      <w:divBdr>
                                                                                        <w:top w:val="single" w:sz="6" w:space="0" w:color="A7B3BD"/>
                                                                                        <w:left w:val="none" w:sz="0" w:space="0" w:color="auto"/>
                                                                                        <w:bottom w:val="none" w:sz="0" w:space="0" w:color="auto"/>
                                                                                        <w:right w:val="none" w:sz="0" w:space="0" w:color="auto"/>
                                                                                      </w:divBdr>
                                                                                      <w:divsChild>
                                                                                        <w:div w:id="21053335">
                                                                                          <w:marLeft w:val="0"/>
                                                                                          <w:marRight w:val="0"/>
                                                                                          <w:marTop w:val="0"/>
                                                                                          <w:marBottom w:val="0"/>
                                                                                          <w:divBdr>
                                                                                            <w:top w:val="none" w:sz="0" w:space="0" w:color="auto"/>
                                                                                            <w:left w:val="none" w:sz="0" w:space="0" w:color="auto"/>
                                                                                            <w:bottom w:val="none" w:sz="0" w:space="0" w:color="auto"/>
                                                                                            <w:right w:val="none" w:sz="0" w:space="0" w:color="auto"/>
                                                                                          </w:divBdr>
                                                                                        </w:div>
                                                                                        <w:div w:id="99109758">
                                                                                          <w:marLeft w:val="0"/>
                                                                                          <w:marRight w:val="0"/>
                                                                                          <w:marTop w:val="0"/>
                                                                                          <w:marBottom w:val="0"/>
                                                                                          <w:divBdr>
                                                                                            <w:top w:val="none" w:sz="0" w:space="0" w:color="auto"/>
                                                                                            <w:left w:val="none" w:sz="0" w:space="0" w:color="auto"/>
                                                                                            <w:bottom w:val="none" w:sz="0" w:space="0" w:color="auto"/>
                                                                                            <w:right w:val="none" w:sz="0" w:space="0" w:color="auto"/>
                                                                                          </w:divBdr>
                                                                                        </w:div>
                                                                                        <w:div w:id="106392222">
                                                                                          <w:marLeft w:val="0"/>
                                                                                          <w:marRight w:val="0"/>
                                                                                          <w:marTop w:val="0"/>
                                                                                          <w:marBottom w:val="0"/>
                                                                                          <w:divBdr>
                                                                                            <w:top w:val="none" w:sz="0" w:space="0" w:color="auto"/>
                                                                                            <w:left w:val="none" w:sz="0" w:space="0" w:color="auto"/>
                                                                                            <w:bottom w:val="none" w:sz="0" w:space="0" w:color="auto"/>
                                                                                            <w:right w:val="none" w:sz="0" w:space="0" w:color="auto"/>
                                                                                          </w:divBdr>
                                                                                        </w:div>
                                                                                        <w:div w:id="572811034">
                                                                                          <w:marLeft w:val="0"/>
                                                                                          <w:marRight w:val="0"/>
                                                                                          <w:marTop w:val="0"/>
                                                                                          <w:marBottom w:val="0"/>
                                                                                          <w:divBdr>
                                                                                            <w:top w:val="none" w:sz="0" w:space="0" w:color="auto"/>
                                                                                            <w:left w:val="none" w:sz="0" w:space="0" w:color="auto"/>
                                                                                            <w:bottom w:val="none" w:sz="0" w:space="0" w:color="auto"/>
                                                                                            <w:right w:val="none" w:sz="0" w:space="0" w:color="auto"/>
                                                                                          </w:divBdr>
                                                                                        </w:div>
                                                                                        <w:div w:id="915868343">
                                                                                          <w:marLeft w:val="0"/>
                                                                                          <w:marRight w:val="0"/>
                                                                                          <w:marTop w:val="0"/>
                                                                                          <w:marBottom w:val="0"/>
                                                                                          <w:divBdr>
                                                                                            <w:top w:val="none" w:sz="0" w:space="0" w:color="auto"/>
                                                                                            <w:left w:val="none" w:sz="0" w:space="0" w:color="auto"/>
                                                                                            <w:bottom w:val="none" w:sz="0" w:space="0" w:color="auto"/>
                                                                                            <w:right w:val="none" w:sz="0" w:space="0" w:color="auto"/>
                                                                                          </w:divBdr>
                                                                                        </w:div>
                                                                                        <w:div w:id="1042754554">
                                                                                          <w:marLeft w:val="0"/>
                                                                                          <w:marRight w:val="0"/>
                                                                                          <w:marTop w:val="0"/>
                                                                                          <w:marBottom w:val="0"/>
                                                                                          <w:divBdr>
                                                                                            <w:top w:val="none" w:sz="0" w:space="0" w:color="auto"/>
                                                                                            <w:left w:val="none" w:sz="0" w:space="0" w:color="auto"/>
                                                                                            <w:bottom w:val="none" w:sz="0" w:space="0" w:color="auto"/>
                                                                                            <w:right w:val="none" w:sz="0" w:space="0" w:color="auto"/>
                                                                                          </w:divBdr>
                                                                                        </w:div>
                                                                                        <w:div w:id="1043095758">
                                                                                          <w:marLeft w:val="0"/>
                                                                                          <w:marRight w:val="0"/>
                                                                                          <w:marTop w:val="0"/>
                                                                                          <w:marBottom w:val="0"/>
                                                                                          <w:divBdr>
                                                                                            <w:top w:val="none" w:sz="0" w:space="0" w:color="auto"/>
                                                                                            <w:left w:val="none" w:sz="0" w:space="0" w:color="auto"/>
                                                                                            <w:bottom w:val="none" w:sz="0" w:space="0" w:color="auto"/>
                                                                                            <w:right w:val="none" w:sz="0" w:space="0" w:color="auto"/>
                                                                                          </w:divBdr>
                                                                                        </w:div>
                                                                                        <w:div w:id="1487159862">
                                                                                          <w:marLeft w:val="0"/>
                                                                                          <w:marRight w:val="0"/>
                                                                                          <w:marTop w:val="0"/>
                                                                                          <w:marBottom w:val="0"/>
                                                                                          <w:divBdr>
                                                                                            <w:top w:val="none" w:sz="0" w:space="0" w:color="auto"/>
                                                                                            <w:left w:val="none" w:sz="0" w:space="0" w:color="auto"/>
                                                                                            <w:bottom w:val="none" w:sz="0" w:space="0" w:color="auto"/>
                                                                                            <w:right w:val="none" w:sz="0" w:space="0" w:color="auto"/>
                                                                                          </w:divBdr>
                                                                                        </w:div>
                                                                                        <w:div w:id="1508252801">
                                                                                          <w:marLeft w:val="0"/>
                                                                                          <w:marRight w:val="0"/>
                                                                                          <w:marTop w:val="0"/>
                                                                                          <w:marBottom w:val="0"/>
                                                                                          <w:divBdr>
                                                                                            <w:top w:val="none" w:sz="0" w:space="0" w:color="auto"/>
                                                                                            <w:left w:val="none" w:sz="0" w:space="0" w:color="auto"/>
                                                                                            <w:bottom w:val="none" w:sz="0" w:space="0" w:color="auto"/>
                                                                                            <w:right w:val="none" w:sz="0" w:space="0" w:color="auto"/>
                                                                                          </w:divBdr>
                                                                                        </w:div>
                                                                                        <w:div w:id="18641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802473">
      <w:bodyDiv w:val="1"/>
      <w:marLeft w:val="0"/>
      <w:marRight w:val="0"/>
      <w:marTop w:val="0"/>
      <w:marBottom w:val="0"/>
      <w:divBdr>
        <w:top w:val="none" w:sz="0" w:space="0" w:color="auto"/>
        <w:left w:val="none" w:sz="0" w:space="0" w:color="auto"/>
        <w:bottom w:val="none" w:sz="0" w:space="0" w:color="auto"/>
        <w:right w:val="none" w:sz="0" w:space="0" w:color="auto"/>
      </w:divBdr>
    </w:div>
    <w:div w:id="1874726977">
      <w:bodyDiv w:val="1"/>
      <w:marLeft w:val="0"/>
      <w:marRight w:val="0"/>
      <w:marTop w:val="0"/>
      <w:marBottom w:val="0"/>
      <w:divBdr>
        <w:top w:val="none" w:sz="0" w:space="0" w:color="auto"/>
        <w:left w:val="none" w:sz="0" w:space="0" w:color="auto"/>
        <w:bottom w:val="none" w:sz="0" w:space="0" w:color="auto"/>
        <w:right w:val="none" w:sz="0" w:space="0" w:color="auto"/>
      </w:divBdr>
    </w:div>
    <w:div w:id="1879968257">
      <w:bodyDiv w:val="1"/>
      <w:marLeft w:val="0"/>
      <w:marRight w:val="0"/>
      <w:marTop w:val="0"/>
      <w:marBottom w:val="0"/>
      <w:divBdr>
        <w:top w:val="none" w:sz="0" w:space="0" w:color="auto"/>
        <w:left w:val="none" w:sz="0" w:space="0" w:color="auto"/>
        <w:bottom w:val="none" w:sz="0" w:space="0" w:color="auto"/>
        <w:right w:val="none" w:sz="0" w:space="0" w:color="auto"/>
      </w:divBdr>
    </w:div>
    <w:div w:id="1889106490">
      <w:bodyDiv w:val="1"/>
      <w:marLeft w:val="0"/>
      <w:marRight w:val="0"/>
      <w:marTop w:val="0"/>
      <w:marBottom w:val="0"/>
      <w:divBdr>
        <w:top w:val="none" w:sz="0" w:space="0" w:color="auto"/>
        <w:left w:val="none" w:sz="0" w:space="0" w:color="auto"/>
        <w:bottom w:val="none" w:sz="0" w:space="0" w:color="auto"/>
        <w:right w:val="none" w:sz="0" w:space="0" w:color="auto"/>
      </w:divBdr>
    </w:div>
    <w:div w:id="1934705836">
      <w:bodyDiv w:val="1"/>
      <w:marLeft w:val="0"/>
      <w:marRight w:val="0"/>
      <w:marTop w:val="0"/>
      <w:marBottom w:val="0"/>
      <w:divBdr>
        <w:top w:val="none" w:sz="0" w:space="0" w:color="auto"/>
        <w:left w:val="none" w:sz="0" w:space="0" w:color="auto"/>
        <w:bottom w:val="none" w:sz="0" w:space="0" w:color="auto"/>
        <w:right w:val="none" w:sz="0" w:space="0" w:color="auto"/>
      </w:divBdr>
    </w:div>
    <w:div w:id="1935092288">
      <w:bodyDiv w:val="1"/>
      <w:marLeft w:val="0"/>
      <w:marRight w:val="0"/>
      <w:marTop w:val="0"/>
      <w:marBottom w:val="0"/>
      <w:divBdr>
        <w:top w:val="none" w:sz="0" w:space="0" w:color="auto"/>
        <w:left w:val="none" w:sz="0" w:space="0" w:color="auto"/>
        <w:bottom w:val="none" w:sz="0" w:space="0" w:color="auto"/>
        <w:right w:val="none" w:sz="0" w:space="0" w:color="auto"/>
      </w:divBdr>
    </w:div>
    <w:div w:id="1937250836">
      <w:bodyDiv w:val="1"/>
      <w:marLeft w:val="0"/>
      <w:marRight w:val="0"/>
      <w:marTop w:val="0"/>
      <w:marBottom w:val="0"/>
      <w:divBdr>
        <w:top w:val="none" w:sz="0" w:space="0" w:color="auto"/>
        <w:left w:val="none" w:sz="0" w:space="0" w:color="auto"/>
        <w:bottom w:val="none" w:sz="0" w:space="0" w:color="auto"/>
        <w:right w:val="none" w:sz="0" w:space="0" w:color="auto"/>
      </w:divBdr>
    </w:div>
    <w:div w:id="1941140423">
      <w:bodyDiv w:val="1"/>
      <w:marLeft w:val="0"/>
      <w:marRight w:val="0"/>
      <w:marTop w:val="0"/>
      <w:marBottom w:val="0"/>
      <w:divBdr>
        <w:top w:val="none" w:sz="0" w:space="0" w:color="auto"/>
        <w:left w:val="none" w:sz="0" w:space="0" w:color="auto"/>
        <w:bottom w:val="none" w:sz="0" w:space="0" w:color="auto"/>
        <w:right w:val="none" w:sz="0" w:space="0" w:color="auto"/>
      </w:divBdr>
    </w:div>
    <w:div w:id="1989046857">
      <w:bodyDiv w:val="1"/>
      <w:marLeft w:val="0"/>
      <w:marRight w:val="0"/>
      <w:marTop w:val="0"/>
      <w:marBottom w:val="0"/>
      <w:divBdr>
        <w:top w:val="none" w:sz="0" w:space="0" w:color="auto"/>
        <w:left w:val="none" w:sz="0" w:space="0" w:color="auto"/>
        <w:bottom w:val="none" w:sz="0" w:space="0" w:color="auto"/>
        <w:right w:val="none" w:sz="0" w:space="0" w:color="auto"/>
      </w:divBdr>
    </w:div>
    <w:div w:id="2049183691">
      <w:bodyDiv w:val="1"/>
      <w:marLeft w:val="0"/>
      <w:marRight w:val="0"/>
      <w:marTop w:val="0"/>
      <w:marBottom w:val="0"/>
      <w:divBdr>
        <w:top w:val="none" w:sz="0" w:space="0" w:color="auto"/>
        <w:left w:val="none" w:sz="0" w:space="0" w:color="auto"/>
        <w:bottom w:val="none" w:sz="0" w:space="0" w:color="auto"/>
        <w:right w:val="none" w:sz="0" w:space="0" w:color="auto"/>
      </w:divBdr>
    </w:div>
    <w:div w:id="2061858690">
      <w:bodyDiv w:val="1"/>
      <w:marLeft w:val="0"/>
      <w:marRight w:val="0"/>
      <w:marTop w:val="0"/>
      <w:marBottom w:val="0"/>
      <w:divBdr>
        <w:top w:val="none" w:sz="0" w:space="0" w:color="auto"/>
        <w:left w:val="none" w:sz="0" w:space="0" w:color="auto"/>
        <w:bottom w:val="none" w:sz="0" w:space="0" w:color="auto"/>
        <w:right w:val="none" w:sz="0" w:space="0" w:color="auto"/>
      </w:divBdr>
    </w:div>
    <w:div w:id="2108501965">
      <w:bodyDiv w:val="1"/>
      <w:marLeft w:val="0"/>
      <w:marRight w:val="0"/>
      <w:marTop w:val="0"/>
      <w:marBottom w:val="0"/>
      <w:divBdr>
        <w:top w:val="none" w:sz="0" w:space="0" w:color="auto"/>
        <w:left w:val="none" w:sz="0" w:space="0" w:color="auto"/>
        <w:bottom w:val="none" w:sz="0" w:space="0" w:color="auto"/>
        <w:right w:val="none" w:sz="0" w:space="0" w:color="auto"/>
      </w:divBdr>
    </w:div>
    <w:div w:id="212672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6.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29.xml"/><Relationship Id="rId47" Type="http://schemas.openxmlformats.org/officeDocument/2006/relationships/chart" Target="charts/chart34.xml"/><Relationship Id="rId50" Type="http://schemas.openxmlformats.org/officeDocument/2006/relationships/image" Target="media/image4.jpeg"/><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4.xml"/><Relationship Id="rId29" Type="http://schemas.openxmlformats.org/officeDocument/2006/relationships/chart" Target="charts/chart17.xml"/><Relationship Id="rId11" Type="http://schemas.openxmlformats.org/officeDocument/2006/relationships/image" Target="media/image1.jpe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7.xml"/><Relationship Id="rId45" Type="http://schemas.openxmlformats.org/officeDocument/2006/relationships/chart" Target="charts/chart32.xml"/><Relationship Id="rId53" Type="http://schemas.openxmlformats.org/officeDocument/2006/relationships/footer" Target="foot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chart" Target="charts/chart31.xml"/><Relationship Id="rId52"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0.xm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image" Target="media/image5.jpe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image" Target="media/image2.png"/><Relationship Id="rId46" Type="http://schemas.openxmlformats.org/officeDocument/2006/relationships/chart" Target="charts/chart33.xml"/><Relationship Id="rId20" Type="http://schemas.openxmlformats.org/officeDocument/2006/relationships/chart" Target="charts/chart8.xml"/><Relationship Id="rId41" Type="http://schemas.openxmlformats.org/officeDocument/2006/relationships/chart" Target="charts/chart28.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AC%20Quarterly%20Performance%20Reports/PAC%202023_24%20Q4%20Performance/MSG%20workings%20to%20Q4%2023-24.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AC%20Quarterly%20Performance%20Reports/PAC%202023_24%20Q4%20Performance/MSG%20workings%20to%20Q4%2023-24.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https://dundeecitygovuk.sharepoint.com/sites/SPInformation/Shared%20Documents/General/PAC%20Quarterly%20Performance%20Reports/PAC%202023_24%20Q4%20Performance/workings%20Q4.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https://dundeecitygovuk.sharepoint.com/sites/SPInformation/Shared%20Documents/General/PAC%20Quarterly%20Performance%20Reports/PAC%202023_24%20Q4%20Performance/workings%20Q4.xlsx" TargetMode="External"/></Relationships>
</file>

<file path=word/charts/_rels/chart14.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AC%20Quarterly%20Performance%20Reports/PAC%202023_24%20Q4%20Performance/MSG%20workings%20to%20Q4%2023-24.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AC%20Quarterly%20Performance%20Reports/PAC%202023_24%20Q4%20Performance/MSG%20workings%20to%20Q4%2023-24.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https://dundeecitygovuk.sharepoint.com/sites/SPInformation/Shared%20Documents/General/PAC%20Quarterly%20Performance%20Reports/PAC%202023_24%20Q4%20Performance/workings%20Q4.xlsx" TargetMode="External"/></Relationships>
</file>

<file path=word/charts/_rels/chart17.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AC%20Quarterly%20Performance%20Reports/PAC%202023_24%20Q4%20Performance/MSG%20workings%20to%20Q4%2023-24.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AC%20Quarterly%20Performance%20Reports/PAC%202023_24%20Q4%20Performance/MSG%20workings%20to%20Q4%2023-24.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https://dundeecitygovuk.sharepoint.com/sites/SPInformation/Shared%20Documents/General/PAC%20Quarterly%20Performance%20Reports/PAC%202023_24%20Q4%20Performance/workings%20Q4.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dundeecitygovuk.sharepoint.com/sites/SPInformation/Shared%20Documents/General/PAC%20Quarterly%20Performance%20Reports/PAC%202023_24%20Q4%20Performance/workings%20Q4.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https://dundeecitygovuk.sharepoint.com/sites/SPInformation/Shared%20Documents/General/PAC%20Quarterly%20Performance%20Reports/PAC%202023_24%20Q4%20Performance/workings%20Q4.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https://dundeecitygovuk.sharepoint.com/sites/SPInformation/Shared%20Documents/General/PAC%20Quarterly%20Performance%20Reports/PAC%202023_24%20Q4%20Performance/workings%20Q4.xlsx" TargetMode="External"/></Relationships>
</file>

<file path=word/charts/_rels/chart2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https://dundeecitygovuk.sharepoint.com/sites/SPInformation/Shared%20Documents/General/PAC%20Quarterly%20Performance%20Reports/PAC%202023_24%20Q4%20Performance/workings%20Q4.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https://dundeecitygovuk.sharepoint.com/sites/SPInformation/Shared%20Documents/General/PAC%20Quarterly%20Performance%20Reports/PAC%202023_24%20Q4%20Performance/workings%20Q4.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https://dundeecitygovuk.sharepoint.com/sites/SPInformation/Shared%20Documents/General/PAC%20Quarterly%20Performance%20Reports/PAC%202023_24%20Q4%20Performance/workings%20Q4.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https://dundeecitygovuk.sharepoint.com/sites/SPInformation/Shared%20Documents/General/Performance%20&amp;%20Planning%20Reporting/Performance%20&amp;%20Audit%20Committee/PAC%20Quarterly%20Performance%20Reports/PAC%202023_24%20Q4%20Performance/Dundee%20DD%20Quarterly%20data%20export%207-2024.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https://dundeecitygovuk.sharepoint.com/sites/SPInformation/Shared%20Documents/General/Performance%20&amp;%20Planning%20Reporting/Performance%20&amp;%20Audit%20Committee/PAC%20Quarterly%20Performance%20Reports/PAC%202023_24%20Q4%20Performance/Dundee%20DD%20Quarterly%20data%20export%207-2024.xlsx"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oleObject" Target="https://dundeecitygovuk.sharepoint.com/sites/SPInformation/Shared%20Documents/General/Performance%20&amp;%20Planning%20Reporting/Performance%20&amp;%20Audit%20Committee/PAC%20Quarterly%20Performance%20Reports/PAC%202023_24%20Q4%20Performance/Dundee%20DD%20Quarterly%20data%20export%207-2024.xlsx" TargetMode="Externa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https://dundeecitygovuk.sharepoint.com/sites/SPInformation/Shared%20Documents/General/Performance%20&amp;%20Planning%20Reporting/Performance%20&amp;%20Audit%20Committee/PAC%20Quarterly%20Performance%20Reports/PAC%202023_24%20Q4%20Performance/Dundee%20DD%20Quarterly%20data%20export%207-2024.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AC%20Quarterly%20Performance%20Reports/PAC%202023_24%20Q4%20Performance/MSG%20workings%20to%20Q4%2023-24.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oleObject" Target="https://dundeecitygovuk.sharepoint.com/sites/SPInformation/Shared%20Documents/General/Performance%20&amp;%20Planning%20Reporting/Performance%20&amp;%20Audit%20Committee/PAC%20Quarterly%20Performance%20Reports/PAC%202023_24%20Q4%20Performance/Dundee%20DD%20Quarterly%20data%20export%207-2024.xlsx" TargetMode="External"/></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oleObject" Target="https://dundeecitygovuk.sharepoint.com/sites/SPInformation/Shared%20Documents/General/Performance%20&amp;%20Planning%20Reporting/Performance%20&amp;%20Audit%20Committee/PAC%20Quarterly%20Performance%20Reports/PAC%202023_24%20Q4%20Performance/Dundee%20DD%20Quarterly%20data%20export%207-2024.xlsx" TargetMode="External"/></Relationships>
</file>

<file path=word/charts/_rels/chart32.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AC%20Quarterly%20Performance%20Reports/PAC%202023_24%20Q4%20Performance/MSG%20workings%20to%20Q4%2023-24.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AC%20Quarterly%20Performance%20Reports/PAC%202023_24%20Q4%20Performance/MSG%20workings%20to%20Q4%2023-24.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dundeecity.gov.uk\dcc-dfs-data\sw-team\SW-SPSS\SPSSStrategyPerformance\Staff%20Folders\Lynsey%20Webster2\2021-22%20Quarterly%20Performance%20Reports\Core_Suite_Integration_Indicators_Management_Information_September2021.xlsx" TargetMode="External"/><Relationship Id="rId2" Type="http://schemas.microsoft.com/office/2011/relationships/chartColorStyle" Target="colors34.xml"/><Relationship Id="rId1" Type="http://schemas.microsoft.com/office/2011/relationships/chartStyle" Target="style34.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dundeecitygovuk.sharepoint.com/sites/SPInformation/Shared%20Documents/General/PAC%20Quarterly%20Performance%20Reports/PAC%202023_24%20Q4%20Performance/workings%20Q4.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AC%20Quarterly%20Performance%20Reports/PAC%202023_24%20Q4%20Performance/MSG%20workings%20to%20Q4%2023-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AC%20Quarterly%20Performance%20Reports/PAC%202023_24%20Q4%20Performance/MSG%20workings%20to%20Q4%2023-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AC%20Quarterly%20Performance%20Reports/PAC%202023_24%20Q4%20Performance/MSG%20workings%20to%20Q4%2023-24.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AC%20Quarterly%20Performance%20Reports/PAC%202023_24%20Q4%20Performance/MSG%20workings%20to%20Q4%2023-24.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AC%20Quarterly%20Performance%20Reports/PAC%202023_24%20Q4%20Performance/MSG%20workings%20to%20Q4%2023-2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Source</a:t>
            </a:r>
            <a:r>
              <a:rPr lang="en-GB" sz="1200" baseline="0"/>
              <a:t> : PHS</a:t>
            </a:r>
            <a:endParaRPr lang="en-GB"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7.9136482939632546E-2"/>
          <c:y val="0.13930555555555557"/>
          <c:w val="0.89030796150481195"/>
          <c:h val="0.61975853018372706"/>
        </c:manualLayout>
      </c:layout>
      <c:lineChart>
        <c:grouping val="standard"/>
        <c:varyColors val="0"/>
        <c:ser>
          <c:idx val="0"/>
          <c:order val="0"/>
          <c:tx>
            <c:strRef>
              <c:f>Sheet1!$A$3</c:f>
              <c:strCache>
                <c:ptCount val="1"/>
                <c:pt idx="0">
                  <c:v>Dundee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Sheet1!$B$2:$H$2</c:f>
              <c:numCache>
                <c:formatCode>General</c:formatCode>
                <c:ptCount val="7"/>
                <c:pt idx="0">
                  <c:v>2016</c:v>
                </c:pt>
                <c:pt idx="1">
                  <c:v>2017</c:v>
                </c:pt>
                <c:pt idx="2">
                  <c:v>2018</c:v>
                </c:pt>
                <c:pt idx="3">
                  <c:v>2019</c:v>
                </c:pt>
                <c:pt idx="4">
                  <c:v>2020</c:v>
                </c:pt>
                <c:pt idx="5">
                  <c:v>2021</c:v>
                </c:pt>
                <c:pt idx="6">
                  <c:v>2022</c:v>
                </c:pt>
              </c:numCache>
            </c:numRef>
          </c:cat>
          <c:val>
            <c:numRef>
              <c:f>Sheet1!$B$3:$H$3</c:f>
              <c:numCache>
                <c:formatCode>General</c:formatCode>
                <c:ptCount val="7"/>
                <c:pt idx="0">
                  <c:v>572</c:v>
                </c:pt>
                <c:pt idx="1">
                  <c:v>554</c:v>
                </c:pt>
                <c:pt idx="2">
                  <c:v>539</c:v>
                </c:pt>
                <c:pt idx="3">
                  <c:v>542</c:v>
                </c:pt>
                <c:pt idx="4">
                  <c:v>604</c:v>
                </c:pt>
                <c:pt idx="5">
                  <c:v>599</c:v>
                </c:pt>
                <c:pt idx="6">
                  <c:v>546</c:v>
                </c:pt>
              </c:numCache>
            </c:numRef>
          </c:val>
          <c:smooth val="0"/>
          <c:extLst>
            <c:ext xmlns:c16="http://schemas.microsoft.com/office/drawing/2014/chart" uri="{C3380CC4-5D6E-409C-BE32-E72D297353CC}">
              <c16:uniqueId val="{00000000-B73F-4541-B25D-D323F651BEE5}"/>
            </c:ext>
          </c:extLst>
        </c:ser>
        <c:ser>
          <c:idx val="1"/>
          <c:order val="1"/>
          <c:tx>
            <c:strRef>
              <c:f>Sheet1!$A$4</c:f>
              <c:strCache>
                <c:ptCount val="1"/>
                <c:pt idx="0">
                  <c:v>Scotland</c:v>
                </c:pt>
              </c:strCache>
            </c:strRef>
          </c:tx>
          <c:spPr>
            <a:ln w="28575" cap="rnd">
              <a:solidFill>
                <a:schemeClr val="accent2"/>
              </a:solidFill>
              <a:round/>
            </a:ln>
            <a:effectLst/>
          </c:spPr>
          <c:marker>
            <c:symbol val="none"/>
          </c:marker>
          <c:dLbls>
            <c:dLbl>
              <c:idx val="0"/>
              <c:layout>
                <c:manualLayout>
                  <c:x val="-7.1766081871345033E-2"/>
                  <c:y val="7.30633670791150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8A6-4B68-9577-18C3012F194B}"/>
                </c:ext>
              </c:extLst>
            </c:dLbl>
            <c:dLbl>
              <c:idx val="1"/>
              <c:layout>
                <c:manualLayout>
                  <c:x val="-7.1766081871345075E-2"/>
                  <c:y val="6.03649543807024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8A6-4B68-9577-18C3012F194B}"/>
                </c:ext>
              </c:extLst>
            </c:dLbl>
            <c:dLbl>
              <c:idx val="2"/>
              <c:layout>
                <c:manualLayout>
                  <c:x val="-8.5801169590643322E-2"/>
                  <c:y val="7.30633670791151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8A6-4B68-9577-18C3012F194B}"/>
                </c:ext>
              </c:extLst>
            </c:dLbl>
            <c:dLbl>
              <c:idx val="3"/>
              <c:layout>
                <c:manualLayout>
                  <c:x val="-8.112280701754386E-2"/>
                  <c:y val="7.94125734283214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8A6-4B68-9577-18C3012F194B}"/>
                </c:ext>
              </c:extLst>
            </c:dLbl>
            <c:dLbl>
              <c:idx val="4"/>
              <c:layout>
                <c:manualLayout>
                  <c:x val="-6.2409356725146199E-2"/>
                  <c:y val="6.67141607299087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8A6-4B68-9577-18C3012F194B}"/>
                </c:ext>
              </c:extLst>
            </c:dLbl>
            <c:dLbl>
              <c:idx val="5"/>
              <c:layout>
                <c:manualLayout>
                  <c:x val="-7.1766081871345117E-2"/>
                  <c:y val="7.30633670791151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8A6-4B68-9577-18C3012F194B}"/>
                </c:ext>
              </c:extLst>
            </c:dLbl>
            <c:dLbl>
              <c:idx val="6"/>
              <c:layout>
                <c:manualLayout>
                  <c:x val="-1.7530598148915597E-2"/>
                  <c:y val="7.30633670791151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8A6-4B68-9577-18C3012F19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Sheet1!$B$2:$H$2</c:f>
              <c:numCache>
                <c:formatCode>General</c:formatCode>
                <c:ptCount val="7"/>
                <c:pt idx="0">
                  <c:v>2016</c:v>
                </c:pt>
                <c:pt idx="1">
                  <c:v>2017</c:v>
                </c:pt>
                <c:pt idx="2">
                  <c:v>2018</c:v>
                </c:pt>
                <c:pt idx="3">
                  <c:v>2019</c:v>
                </c:pt>
                <c:pt idx="4">
                  <c:v>2020</c:v>
                </c:pt>
                <c:pt idx="5">
                  <c:v>2021</c:v>
                </c:pt>
                <c:pt idx="6">
                  <c:v>2022</c:v>
                </c:pt>
              </c:numCache>
            </c:numRef>
          </c:cat>
          <c:val>
            <c:numRef>
              <c:f>Sheet1!$B$4:$H$4</c:f>
              <c:numCache>
                <c:formatCode>General</c:formatCode>
                <c:ptCount val="7"/>
                <c:pt idx="0">
                  <c:v>440</c:v>
                </c:pt>
                <c:pt idx="1">
                  <c:v>425</c:v>
                </c:pt>
                <c:pt idx="2">
                  <c:v>432</c:v>
                </c:pt>
                <c:pt idx="3">
                  <c:v>426</c:v>
                </c:pt>
                <c:pt idx="4">
                  <c:v>457</c:v>
                </c:pt>
                <c:pt idx="5">
                  <c:v>466</c:v>
                </c:pt>
                <c:pt idx="6">
                  <c:v>442</c:v>
                </c:pt>
              </c:numCache>
            </c:numRef>
          </c:val>
          <c:smooth val="0"/>
          <c:extLst>
            <c:ext xmlns:c16="http://schemas.microsoft.com/office/drawing/2014/chart" uri="{C3380CC4-5D6E-409C-BE32-E72D297353CC}">
              <c16:uniqueId val="{00000001-B73F-4541-B25D-D323F651BEE5}"/>
            </c:ext>
          </c:extLst>
        </c:ser>
        <c:dLbls>
          <c:showLegendKey val="0"/>
          <c:showVal val="0"/>
          <c:showCatName val="0"/>
          <c:showSerName val="0"/>
          <c:showPercent val="0"/>
          <c:showBubbleSize val="0"/>
        </c:dLbls>
        <c:smooth val="0"/>
        <c:axId val="574666544"/>
        <c:axId val="574661264"/>
      </c:lineChart>
      <c:catAx>
        <c:axId val="57466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661264"/>
        <c:crosses val="autoZero"/>
        <c:auto val="1"/>
        <c:lblAlgn val="ctr"/>
        <c:lblOffset val="100"/>
        <c:noMultiLvlLbl val="0"/>
      </c:catAx>
      <c:valAx>
        <c:axId val="574661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666544"/>
        <c:crosses val="autoZero"/>
        <c:crossBetween val="between"/>
      </c:valAx>
      <c:spPr>
        <a:noFill/>
        <a:ln>
          <a:noFill/>
        </a:ln>
        <a:effectLst/>
      </c:spPr>
    </c:plotArea>
    <c:legend>
      <c:legendPos val="b"/>
      <c:layout>
        <c:manualLayout>
          <c:xMode val="edge"/>
          <c:yMode val="edge"/>
          <c:x val="0.1962237878159967"/>
          <c:y val="0.88373906920171563"/>
          <c:w val="0.60755205599300088"/>
          <c:h val="7.723654055438190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Source: MSG National Data</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'A&amp;E Attendances'!$A$7:$A$10</c:f>
              <c:strCache>
                <c:ptCount val="4"/>
                <c:pt idx="0">
                  <c:v>Q1</c:v>
                </c:pt>
                <c:pt idx="1">
                  <c:v>Q2</c:v>
                </c:pt>
                <c:pt idx="2">
                  <c:v>Q3</c:v>
                </c:pt>
                <c:pt idx="3">
                  <c:v>Q4</c:v>
                </c:pt>
              </c:strCache>
            </c:strRef>
          </c:cat>
          <c:val>
            <c:numRef>
              <c:f>'A&amp;E Attendances'!$B$7:$B$10</c:f>
              <c:numCache>
                <c:formatCode>General</c:formatCode>
                <c:ptCount val="4"/>
                <c:pt idx="0">
                  <c:v>24457</c:v>
                </c:pt>
                <c:pt idx="1">
                  <c:v>24636</c:v>
                </c:pt>
                <c:pt idx="2">
                  <c:v>24637</c:v>
                </c:pt>
                <c:pt idx="3">
                  <c:v>25044</c:v>
                </c:pt>
              </c:numCache>
            </c:numRef>
          </c:val>
          <c:smooth val="0"/>
          <c:extLst>
            <c:ext xmlns:c16="http://schemas.microsoft.com/office/drawing/2014/chart" uri="{C3380CC4-5D6E-409C-BE32-E72D297353CC}">
              <c16:uniqueId val="{00000001-3F0C-4DEA-AE85-FC939A0AE576}"/>
            </c:ext>
          </c:extLst>
        </c:ser>
        <c:dLbls>
          <c:dLblPos val="t"/>
          <c:showLegendKey val="0"/>
          <c:showVal val="1"/>
          <c:showCatName val="0"/>
          <c:showSerName val="0"/>
          <c:showPercent val="0"/>
          <c:showBubbleSize val="0"/>
        </c:dLbls>
        <c:smooth val="0"/>
        <c:axId val="616620096"/>
        <c:axId val="618414816"/>
      </c:lineChart>
      <c:catAx>
        <c:axId val="616620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18414816"/>
        <c:crosses val="autoZero"/>
        <c:auto val="1"/>
        <c:lblAlgn val="ctr"/>
        <c:lblOffset val="100"/>
        <c:noMultiLvlLbl val="0"/>
      </c:catAx>
      <c:valAx>
        <c:axId val="618414816"/>
        <c:scaling>
          <c:orientation val="minMax"/>
          <c:min val="244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1662009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i="0" baseline="0">
                <a:effectLst/>
              </a:rPr>
              <a:t>Source: MSG National Data</a:t>
            </a:r>
            <a:endParaRPr lang="en-GB"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'A&amp;E Attendances'!$A$16:$A$21</c:f>
              <c:strCache>
                <c:ptCount val="6"/>
                <c:pt idx="0">
                  <c:v>2018/19</c:v>
                </c:pt>
                <c:pt idx="1">
                  <c:v>2019/20</c:v>
                </c:pt>
                <c:pt idx="2">
                  <c:v>2020/21</c:v>
                </c:pt>
                <c:pt idx="3">
                  <c:v>2021/22</c:v>
                </c:pt>
                <c:pt idx="4">
                  <c:v>2022/23</c:v>
                </c:pt>
                <c:pt idx="5">
                  <c:v>2023/24</c:v>
                </c:pt>
              </c:strCache>
            </c:strRef>
          </c:cat>
          <c:val>
            <c:numRef>
              <c:f>'A&amp;E Attendances'!$B$16:$B$21</c:f>
              <c:numCache>
                <c:formatCode>General</c:formatCode>
                <c:ptCount val="6"/>
                <c:pt idx="0">
                  <c:v>24680</c:v>
                </c:pt>
                <c:pt idx="1">
                  <c:v>24318</c:v>
                </c:pt>
                <c:pt idx="2">
                  <c:v>19061</c:v>
                </c:pt>
                <c:pt idx="3">
                  <c:v>24021</c:v>
                </c:pt>
                <c:pt idx="4">
                  <c:v>24654</c:v>
                </c:pt>
                <c:pt idx="5">
                  <c:v>25044</c:v>
                </c:pt>
              </c:numCache>
            </c:numRef>
          </c:val>
          <c:smooth val="0"/>
          <c:extLst>
            <c:ext xmlns:c16="http://schemas.microsoft.com/office/drawing/2014/chart" uri="{C3380CC4-5D6E-409C-BE32-E72D297353CC}">
              <c16:uniqueId val="{00000001-BCE4-43CC-A132-8C9220210CEA}"/>
            </c:ext>
          </c:extLst>
        </c:ser>
        <c:dLbls>
          <c:showLegendKey val="0"/>
          <c:showVal val="0"/>
          <c:showCatName val="0"/>
          <c:showSerName val="0"/>
          <c:showPercent val="0"/>
          <c:showBubbleSize val="0"/>
        </c:dLbls>
        <c:smooth val="0"/>
        <c:axId val="610956736"/>
        <c:axId val="622734544"/>
      </c:lineChart>
      <c:catAx>
        <c:axId val="610956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22734544"/>
        <c:crosses val="autoZero"/>
        <c:auto val="1"/>
        <c:lblAlgn val="ctr"/>
        <c:lblOffset val="100"/>
        <c:noMultiLvlLbl val="0"/>
      </c:catAx>
      <c:valAx>
        <c:axId val="622734544"/>
        <c:scaling>
          <c:orientation val="minMax"/>
          <c:min val="17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1095673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Source:</a:t>
            </a:r>
            <a:r>
              <a:rPr lang="en-GB" sz="1200" baseline="0"/>
              <a:t> NHST BSU</a:t>
            </a:r>
            <a:endParaRPr lang="en-GB"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9027680818248235"/>
          <c:y val="0.20004539973043906"/>
          <c:w val="0.77551727909011381"/>
          <c:h val="0.66532547669951847"/>
        </c:manualLayout>
      </c:layout>
      <c:barChart>
        <c:barDir val="col"/>
        <c:grouping val="clustered"/>
        <c:varyColors val="0"/>
        <c:ser>
          <c:idx val="0"/>
          <c:order val="0"/>
          <c:tx>
            <c:strRef>
              <c:f>'[workings Q4.xlsx]BedDays'!$B$52</c:f>
              <c:strCache>
                <c:ptCount val="1"/>
                <c:pt idx="0">
                  <c:v>%Diff from 1819 Baseline</c:v>
                </c:pt>
              </c:strCache>
            </c:strRef>
          </c:tx>
          <c:spPr>
            <a:solidFill>
              <a:schemeClr val="accent1"/>
            </a:solidFill>
            <a:ln>
              <a:noFill/>
            </a:ln>
            <a:effectLst/>
          </c:spPr>
          <c:invertIfNegative val="0"/>
          <c:cat>
            <c:strRef>
              <c:f>'[workings Q4.xlsx]BedDays'!$A$53:$A$61</c:f>
              <c:strCache>
                <c:ptCount val="9"/>
                <c:pt idx="0">
                  <c:v>D</c:v>
                </c:pt>
                <c:pt idx="1">
                  <c:v>C</c:v>
                </c:pt>
                <c:pt idx="2">
                  <c:v>EE</c:v>
                </c:pt>
                <c:pt idx="3">
                  <c:v>L</c:v>
                </c:pt>
                <c:pt idx="4">
                  <c:v>M</c:v>
                </c:pt>
                <c:pt idx="5">
                  <c:v>NE</c:v>
                </c:pt>
                <c:pt idx="6">
                  <c:v>S</c:v>
                </c:pt>
                <c:pt idx="7">
                  <c:v>TF</c:v>
                </c:pt>
                <c:pt idx="8">
                  <c:v>WE</c:v>
                </c:pt>
              </c:strCache>
            </c:strRef>
          </c:cat>
          <c:val>
            <c:numRef>
              <c:f>'[workings Q4.xlsx]BedDays'!$B$53:$B$61</c:f>
              <c:numCache>
                <c:formatCode>0.0</c:formatCode>
                <c:ptCount val="9"/>
                <c:pt idx="0">
                  <c:v>0.92441191698004521</c:v>
                </c:pt>
                <c:pt idx="1">
                  <c:v>-1.5742600046516495</c:v>
                </c:pt>
                <c:pt idx="2">
                  <c:v>-3.2037494946153449</c:v>
                </c:pt>
                <c:pt idx="3">
                  <c:v>-9.0469583499467312</c:v>
                </c:pt>
                <c:pt idx="4">
                  <c:v>-13.431617946725746</c:v>
                </c:pt>
                <c:pt idx="5">
                  <c:v>29.960526693508427</c:v>
                </c:pt>
                <c:pt idx="6">
                  <c:v>13.716352613779542</c:v>
                </c:pt>
                <c:pt idx="7">
                  <c:v>2.1575167481697459</c:v>
                </c:pt>
                <c:pt idx="8">
                  <c:v>0.45043484286753549</c:v>
                </c:pt>
              </c:numCache>
            </c:numRef>
          </c:val>
          <c:extLst>
            <c:ext xmlns:c16="http://schemas.microsoft.com/office/drawing/2014/chart" uri="{C3380CC4-5D6E-409C-BE32-E72D297353CC}">
              <c16:uniqueId val="{00000000-6A11-418C-881D-6144A66B6107}"/>
            </c:ext>
          </c:extLst>
        </c:ser>
        <c:dLbls>
          <c:showLegendKey val="0"/>
          <c:showVal val="0"/>
          <c:showCatName val="0"/>
          <c:showSerName val="0"/>
          <c:showPercent val="0"/>
          <c:showBubbleSize val="0"/>
        </c:dLbls>
        <c:gapWidth val="219"/>
        <c:overlap val="-27"/>
        <c:axId val="1563151391"/>
        <c:axId val="1621509503"/>
      </c:barChart>
      <c:catAx>
        <c:axId val="1563151391"/>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LCPP</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1509503"/>
        <c:crosses val="autoZero"/>
        <c:auto val="1"/>
        <c:lblAlgn val="ctr"/>
        <c:lblOffset val="100"/>
        <c:noMultiLvlLbl val="0"/>
      </c:catAx>
      <c:valAx>
        <c:axId val="1621509503"/>
        <c:scaling>
          <c:orientation val="minMax"/>
          <c:max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a:t>
                </a:r>
                <a:r>
                  <a:rPr lang="en-GB" sz="800" baseline="0"/>
                  <a:t> Difference</a:t>
                </a:r>
                <a:endParaRPr lang="en-GB" sz="800"/>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B"/>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63151391"/>
        <c:crosses val="autoZero"/>
        <c:crossBetween val="between"/>
        <c:majorUnit val="10"/>
        <c:minorUnit val="1"/>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Source: NHST BSU</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7595800524934383"/>
          <c:y val="0.22832288821040228"/>
          <c:w val="0.70052762635439803"/>
          <c:h val="0.54133447604763685"/>
        </c:manualLayout>
      </c:layout>
      <c:lineChart>
        <c:grouping val="standard"/>
        <c:varyColors val="0"/>
        <c:ser>
          <c:idx val="0"/>
          <c:order val="0"/>
          <c:spPr>
            <a:ln w="28575" cap="rnd">
              <a:solidFill>
                <a:schemeClr val="accent1"/>
              </a:solidFill>
              <a:round/>
            </a:ln>
            <a:effectLst/>
          </c:spPr>
          <c:marker>
            <c:symbol val="none"/>
          </c:marker>
          <c:cat>
            <c:strRef>
              <c:f>'[workings Q4.xlsx]BedDays'!$D$70:$G$70</c:f>
              <c:strCache>
                <c:ptCount val="4"/>
                <c:pt idx="0">
                  <c:v>Q1</c:v>
                </c:pt>
                <c:pt idx="1">
                  <c:v>Q2</c:v>
                </c:pt>
                <c:pt idx="2">
                  <c:v>Q3</c:v>
                </c:pt>
                <c:pt idx="3">
                  <c:v>Q4</c:v>
                </c:pt>
              </c:strCache>
            </c:strRef>
          </c:cat>
          <c:val>
            <c:numRef>
              <c:f>'[workings Q4.xlsx]BedDays'!$D$71:$G$71</c:f>
              <c:numCache>
                <c:formatCode>#,##0</c:formatCode>
                <c:ptCount val="4"/>
                <c:pt idx="0">
                  <c:v>128983</c:v>
                </c:pt>
                <c:pt idx="1">
                  <c:v>130049</c:v>
                </c:pt>
                <c:pt idx="2" formatCode="0">
                  <c:v>123899.6616882581</c:v>
                </c:pt>
                <c:pt idx="3" formatCode="0">
                  <c:v>121124.68025414638</c:v>
                </c:pt>
              </c:numCache>
            </c:numRef>
          </c:val>
          <c:smooth val="0"/>
          <c:extLst>
            <c:ext xmlns:c16="http://schemas.microsoft.com/office/drawing/2014/chart" uri="{C3380CC4-5D6E-409C-BE32-E72D297353CC}">
              <c16:uniqueId val="{00000000-4E12-4148-9E3F-A90300153824}"/>
            </c:ext>
          </c:extLst>
        </c:ser>
        <c:dLbls>
          <c:showLegendKey val="0"/>
          <c:showVal val="0"/>
          <c:showCatName val="0"/>
          <c:showSerName val="0"/>
          <c:showPercent val="0"/>
          <c:showBubbleSize val="0"/>
        </c:dLbls>
        <c:smooth val="0"/>
        <c:axId val="1340606864"/>
        <c:axId val="1345673968"/>
      </c:lineChart>
      <c:catAx>
        <c:axId val="134060686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Quarter</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45673968"/>
        <c:crosses val="autoZero"/>
        <c:auto val="1"/>
        <c:lblAlgn val="ctr"/>
        <c:lblOffset val="100"/>
        <c:noMultiLvlLbl val="0"/>
      </c:catAx>
      <c:valAx>
        <c:axId val="1345673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50" b="0" i="0" u="none" strike="noStrike" kern="1200" baseline="0">
                    <a:solidFill>
                      <a:schemeClr val="tx1">
                        <a:lumMod val="65000"/>
                        <a:lumOff val="35000"/>
                      </a:schemeClr>
                    </a:solidFill>
                    <a:latin typeface="+mn-lt"/>
                    <a:ea typeface="+mn-ea"/>
                    <a:cs typeface="+mn-cs"/>
                  </a:defRPr>
                </a:pPr>
                <a:r>
                  <a:rPr lang="en-GB" sz="750"/>
                  <a:t>Dundee Rate per 100,000</a:t>
                </a:r>
              </a:p>
            </c:rich>
          </c:tx>
          <c:layout>
            <c:manualLayout>
              <c:xMode val="edge"/>
              <c:yMode val="edge"/>
              <c:x val="5.1394216748547458E-3"/>
              <c:y val="0.10040691722045385"/>
            </c:manualLayout>
          </c:layout>
          <c:overlay val="0"/>
          <c:spPr>
            <a:noFill/>
            <a:ln>
              <a:noFill/>
            </a:ln>
            <a:effectLst/>
          </c:spPr>
          <c:txPr>
            <a:bodyPr rot="-5400000" spcFirstLastPara="1" vertOverflow="ellipsis" vert="horz" wrap="square" anchor="ctr" anchorCtr="1"/>
            <a:lstStyle/>
            <a:p>
              <a:pPr>
                <a:defRPr sz="75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50" b="0" i="0" u="none" strike="noStrike" kern="1200" baseline="0">
                <a:solidFill>
                  <a:schemeClr val="tx1">
                    <a:lumMod val="65000"/>
                    <a:lumOff val="35000"/>
                  </a:schemeClr>
                </a:solidFill>
                <a:latin typeface="+mn-lt"/>
                <a:ea typeface="+mn-ea"/>
                <a:cs typeface="+mn-cs"/>
              </a:defRPr>
            </a:pPr>
            <a:endParaRPr lang="en-US"/>
          </a:p>
        </c:txPr>
        <c:crossAx val="1340606864"/>
        <c:crosses val="autoZero"/>
        <c:crossBetween val="between"/>
        <c:majorUnit val="200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i="0" baseline="0">
                <a:effectLst/>
              </a:rPr>
              <a:t>National MSG Data (Acute Only)</a:t>
            </a:r>
            <a:endParaRPr lang="en-GB"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'Bed Days'!$B$21:$B$24</c:f>
              <c:strCache>
                <c:ptCount val="4"/>
                <c:pt idx="0">
                  <c:v>Q1</c:v>
                </c:pt>
                <c:pt idx="1">
                  <c:v>Q2</c:v>
                </c:pt>
                <c:pt idx="2">
                  <c:v>Q3</c:v>
                </c:pt>
                <c:pt idx="3">
                  <c:v>Q4</c:v>
                </c:pt>
              </c:strCache>
            </c:strRef>
          </c:cat>
          <c:val>
            <c:numRef>
              <c:f>'Bed Days'!$C$21:$C$24</c:f>
              <c:numCache>
                <c:formatCode>General</c:formatCode>
                <c:ptCount val="4"/>
                <c:pt idx="0">
                  <c:v>81085</c:v>
                </c:pt>
                <c:pt idx="1">
                  <c:v>81254</c:v>
                </c:pt>
                <c:pt idx="2">
                  <c:v>82035</c:v>
                </c:pt>
                <c:pt idx="3">
                  <c:v>81277</c:v>
                </c:pt>
              </c:numCache>
            </c:numRef>
          </c:val>
          <c:smooth val="0"/>
          <c:extLst>
            <c:ext xmlns:c16="http://schemas.microsoft.com/office/drawing/2014/chart" uri="{C3380CC4-5D6E-409C-BE32-E72D297353CC}">
              <c16:uniqueId val="{00000001-12C5-4B68-BFE5-1176D81D2D53}"/>
            </c:ext>
          </c:extLst>
        </c:ser>
        <c:dLbls>
          <c:dLblPos val="t"/>
          <c:showLegendKey val="0"/>
          <c:showVal val="1"/>
          <c:showCatName val="0"/>
          <c:showSerName val="0"/>
          <c:showPercent val="0"/>
          <c:showBubbleSize val="0"/>
        </c:dLbls>
        <c:smooth val="0"/>
        <c:axId val="619591856"/>
        <c:axId val="622763664"/>
      </c:lineChart>
      <c:catAx>
        <c:axId val="61959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2763664"/>
        <c:crosses val="autoZero"/>
        <c:auto val="1"/>
        <c:lblAlgn val="ctr"/>
        <c:lblOffset val="100"/>
        <c:noMultiLvlLbl val="0"/>
      </c:catAx>
      <c:valAx>
        <c:axId val="622763664"/>
        <c:scaling>
          <c:orientation val="minMax"/>
          <c:min val="8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959185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i="0" baseline="0">
                <a:effectLst/>
              </a:rPr>
              <a:t>National MSG Data (Mental Health Specialties)</a:t>
            </a:r>
            <a:endParaRPr lang="en-GB" sz="1200" b="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'Mental Health'!$B$21:$B$24</c:f>
              <c:strCache>
                <c:ptCount val="4"/>
                <c:pt idx="0">
                  <c:v>Q1</c:v>
                </c:pt>
                <c:pt idx="1">
                  <c:v>Q2</c:v>
                </c:pt>
                <c:pt idx="2">
                  <c:v>Q3</c:v>
                </c:pt>
                <c:pt idx="3">
                  <c:v>Q4</c:v>
                </c:pt>
              </c:strCache>
            </c:strRef>
          </c:cat>
          <c:val>
            <c:numRef>
              <c:f>'Mental Health'!$C$21:$C$24</c:f>
              <c:numCache>
                <c:formatCode>General</c:formatCode>
                <c:ptCount val="4"/>
                <c:pt idx="0">
                  <c:v>33771</c:v>
                </c:pt>
                <c:pt idx="1">
                  <c:v>33193</c:v>
                </c:pt>
                <c:pt idx="2">
                  <c:v>31010</c:v>
                </c:pt>
                <c:pt idx="3">
                  <c:v>30546</c:v>
                </c:pt>
              </c:numCache>
            </c:numRef>
          </c:val>
          <c:smooth val="0"/>
          <c:extLst>
            <c:ext xmlns:c16="http://schemas.microsoft.com/office/drawing/2014/chart" uri="{C3380CC4-5D6E-409C-BE32-E72D297353CC}">
              <c16:uniqueId val="{00000001-2E70-4085-9B80-B9E3D5CC9E57}"/>
            </c:ext>
          </c:extLst>
        </c:ser>
        <c:dLbls>
          <c:showLegendKey val="0"/>
          <c:showVal val="0"/>
          <c:showCatName val="0"/>
          <c:showSerName val="0"/>
          <c:showPercent val="0"/>
          <c:showBubbleSize val="0"/>
        </c:dLbls>
        <c:smooth val="0"/>
        <c:axId val="610971536"/>
        <c:axId val="622728304"/>
      </c:lineChart>
      <c:catAx>
        <c:axId val="610971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2728304"/>
        <c:crosses val="autoZero"/>
        <c:auto val="1"/>
        <c:lblAlgn val="ctr"/>
        <c:lblOffset val="100"/>
        <c:noMultiLvlLbl val="0"/>
      </c:catAx>
      <c:valAx>
        <c:axId val="622728304"/>
        <c:scaling>
          <c:orientation val="minMax"/>
          <c:min val="3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971536"/>
        <c:crosses val="autoZero"/>
        <c:crossBetween val="between"/>
        <c:majorUnit val="200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Source: NHST BSU</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606165754704391"/>
          <c:y val="0.18118165609045705"/>
          <c:w val="0.74229992437385994"/>
          <c:h val="0.46821489086016149"/>
        </c:manualLayout>
      </c:layout>
      <c:lineChart>
        <c:grouping val="standard"/>
        <c:varyColors val="0"/>
        <c:ser>
          <c:idx val="0"/>
          <c:order val="0"/>
          <c:tx>
            <c:v>D</c:v>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'[workings Q4.xlsx]BedDays'!$B$85:$L$85</c:f>
              <c:strCache>
                <c:ptCount val="10"/>
                <c:pt idx="0">
                  <c:v>2015/16</c:v>
                </c:pt>
                <c:pt idx="1">
                  <c:v>2016/17</c:v>
                </c:pt>
                <c:pt idx="2">
                  <c:v>2017/18</c:v>
                </c:pt>
                <c:pt idx="3">
                  <c:v>2018/19</c:v>
                </c:pt>
                <c:pt idx="4">
                  <c:v>2019/20</c:v>
                </c:pt>
                <c:pt idx="5">
                  <c:v>2020/21</c:v>
                </c:pt>
                <c:pt idx="6">
                  <c:v>2021/22 </c:v>
                </c:pt>
                <c:pt idx="7">
                  <c:v>2022/23</c:v>
                </c:pt>
                <c:pt idx="8">
                  <c:v>2023/24 Q3</c:v>
                </c:pt>
                <c:pt idx="9">
                  <c:v>2023/24 Q4</c:v>
                </c:pt>
              </c:strCache>
              <c:extLst/>
            </c:strRef>
          </c:cat>
          <c:val>
            <c:numRef>
              <c:f>'[workings Q4.xlsx]BedDays'!$B$86:$L$86</c:f>
              <c:numCache>
                <c:formatCode>0</c:formatCode>
                <c:ptCount val="10"/>
                <c:pt idx="0">
                  <c:v>132959.17189998188</c:v>
                </c:pt>
                <c:pt idx="1">
                  <c:v>127834.22877876602</c:v>
                </c:pt>
                <c:pt idx="2">
                  <c:v>122738.64503268886</c:v>
                </c:pt>
                <c:pt idx="3">
                  <c:v>120015.24502692469</c:v>
                </c:pt>
                <c:pt idx="4">
                  <c:v>114090.17515388461</c:v>
                </c:pt>
                <c:pt idx="5">
                  <c:v>96751.825714917999</c:v>
                </c:pt>
                <c:pt idx="6">
                  <c:v>129732</c:v>
                </c:pt>
                <c:pt idx="7">
                  <c:v>126875.15471573563</c:v>
                </c:pt>
                <c:pt idx="8">
                  <c:v>123900</c:v>
                </c:pt>
                <c:pt idx="9">
                  <c:v>121124.68025414638</c:v>
                </c:pt>
              </c:numCache>
              <c:extLst/>
            </c:numRef>
          </c:val>
          <c:smooth val="0"/>
          <c:extLst>
            <c:ext xmlns:c16="http://schemas.microsoft.com/office/drawing/2014/chart" uri="{C3380CC4-5D6E-409C-BE32-E72D297353CC}">
              <c16:uniqueId val="{00000001-98C1-4E5A-B24E-DDC62BD9297A}"/>
            </c:ext>
          </c:extLst>
        </c:ser>
        <c:ser>
          <c:idx val="1"/>
          <c:order val="1"/>
          <c:tx>
            <c:v>Lowest at Q4 WE</c:v>
          </c:tx>
          <c:spPr>
            <a:ln w="28575" cap="rnd">
              <a:solidFill>
                <a:schemeClr val="accent2"/>
              </a:solidFill>
              <a:round/>
            </a:ln>
            <a:effectLst/>
          </c:spPr>
          <c:marker>
            <c:symbol val="none"/>
          </c:marker>
          <c:cat>
            <c:strRef>
              <c:f>'[workings Q4.xlsx]BedDays'!$B$85:$L$85</c:f>
              <c:strCache>
                <c:ptCount val="10"/>
                <c:pt idx="0">
                  <c:v>2015/16</c:v>
                </c:pt>
                <c:pt idx="1">
                  <c:v>2016/17</c:v>
                </c:pt>
                <c:pt idx="2">
                  <c:v>2017/18</c:v>
                </c:pt>
                <c:pt idx="3">
                  <c:v>2018/19</c:v>
                </c:pt>
                <c:pt idx="4">
                  <c:v>2019/20</c:v>
                </c:pt>
                <c:pt idx="5">
                  <c:v>2020/21</c:v>
                </c:pt>
                <c:pt idx="6">
                  <c:v>2021/22 </c:v>
                </c:pt>
                <c:pt idx="7">
                  <c:v>2022/23</c:v>
                </c:pt>
                <c:pt idx="8">
                  <c:v>2023/24 Q3</c:v>
                </c:pt>
                <c:pt idx="9">
                  <c:v>2023/24 Q4</c:v>
                </c:pt>
              </c:strCache>
              <c:extLst/>
            </c:strRef>
          </c:cat>
          <c:val>
            <c:numRef>
              <c:f>'[workings Q4.xlsx]BedDays'!$B$87:$L$87</c:f>
              <c:numCache>
                <c:formatCode>#,##0</c:formatCode>
                <c:ptCount val="10"/>
                <c:pt idx="0">
                  <c:v>98143</c:v>
                </c:pt>
                <c:pt idx="1">
                  <c:v>93207</c:v>
                </c:pt>
                <c:pt idx="2">
                  <c:v>86715</c:v>
                </c:pt>
                <c:pt idx="3">
                  <c:v>81887</c:v>
                </c:pt>
                <c:pt idx="4">
                  <c:v>79387</c:v>
                </c:pt>
                <c:pt idx="5">
                  <c:v>70785</c:v>
                </c:pt>
                <c:pt idx="6">
                  <c:v>79398</c:v>
                </c:pt>
                <c:pt idx="7">
                  <c:v>82580</c:v>
                </c:pt>
                <c:pt idx="8" formatCode="0">
                  <c:v>87003</c:v>
                </c:pt>
                <c:pt idx="9">
                  <c:v>82255.639097744366</c:v>
                </c:pt>
              </c:numCache>
              <c:extLst/>
            </c:numRef>
          </c:val>
          <c:smooth val="0"/>
          <c:extLst>
            <c:ext xmlns:c16="http://schemas.microsoft.com/office/drawing/2014/chart" uri="{C3380CC4-5D6E-409C-BE32-E72D297353CC}">
              <c16:uniqueId val="{00000002-98C1-4E5A-B24E-DDC62BD9297A}"/>
            </c:ext>
          </c:extLst>
        </c:ser>
        <c:ser>
          <c:idx val="2"/>
          <c:order val="2"/>
          <c:tx>
            <c:v>Highest at Q4 Coldside</c:v>
          </c:tx>
          <c:spPr>
            <a:ln w="28575" cap="rnd">
              <a:solidFill>
                <a:schemeClr val="accent3"/>
              </a:solidFill>
              <a:round/>
            </a:ln>
            <a:effectLst/>
          </c:spPr>
          <c:marker>
            <c:symbol val="none"/>
          </c:marker>
          <c:cat>
            <c:strRef>
              <c:f>'[workings Q4.xlsx]BedDays'!$B$85:$L$85</c:f>
              <c:strCache>
                <c:ptCount val="10"/>
                <c:pt idx="0">
                  <c:v>2015/16</c:v>
                </c:pt>
                <c:pt idx="1">
                  <c:v>2016/17</c:v>
                </c:pt>
                <c:pt idx="2">
                  <c:v>2017/18</c:v>
                </c:pt>
                <c:pt idx="3">
                  <c:v>2018/19</c:v>
                </c:pt>
                <c:pt idx="4">
                  <c:v>2019/20</c:v>
                </c:pt>
                <c:pt idx="5">
                  <c:v>2020/21</c:v>
                </c:pt>
                <c:pt idx="6">
                  <c:v>2021/22 </c:v>
                </c:pt>
                <c:pt idx="7">
                  <c:v>2022/23</c:v>
                </c:pt>
                <c:pt idx="8">
                  <c:v>2023/24 Q3</c:v>
                </c:pt>
                <c:pt idx="9">
                  <c:v>2023/24 Q4</c:v>
                </c:pt>
              </c:strCache>
              <c:extLst/>
            </c:strRef>
          </c:cat>
          <c:val>
            <c:numRef>
              <c:f>'[workings Q4.xlsx]BedDays'!$B$88:$L$88</c:f>
              <c:numCache>
                <c:formatCode>General</c:formatCode>
                <c:ptCount val="10"/>
                <c:pt idx="0">
                  <c:v>162998</c:v>
                </c:pt>
                <c:pt idx="1">
                  <c:v>165823</c:v>
                </c:pt>
                <c:pt idx="2">
                  <c:v>138627</c:v>
                </c:pt>
                <c:pt idx="3">
                  <c:v>146335</c:v>
                </c:pt>
                <c:pt idx="4">
                  <c:v>146120</c:v>
                </c:pt>
                <c:pt idx="5">
                  <c:v>113609</c:v>
                </c:pt>
                <c:pt idx="6">
                  <c:v>152538</c:v>
                </c:pt>
                <c:pt idx="7" formatCode="#,##0">
                  <c:v>161072</c:v>
                </c:pt>
                <c:pt idx="8" formatCode="0">
                  <c:v>160789.84485190408</c:v>
                </c:pt>
                <c:pt idx="9" formatCode="#,##0">
                  <c:v>144031.28606231569</c:v>
                </c:pt>
              </c:numCache>
              <c:extLst/>
            </c:numRef>
          </c:val>
          <c:smooth val="0"/>
          <c:extLst>
            <c:ext xmlns:c16="http://schemas.microsoft.com/office/drawing/2014/chart" uri="{C3380CC4-5D6E-409C-BE32-E72D297353CC}">
              <c16:uniqueId val="{00000003-98C1-4E5A-B24E-DDC62BD9297A}"/>
            </c:ext>
          </c:extLst>
        </c:ser>
        <c:dLbls>
          <c:showLegendKey val="0"/>
          <c:showVal val="0"/>
          <c:showCatName val="0"/>
          <c:showSerName val="0"/>
          <c:showPercent val="0"/>
          <c:showBubbleSize val="0"/>
        </c:dLbls>
        <c:smooth val="0"/>
        <c:axId val="1340615664"/>
        <c:axId val="1345690608"/>
      </c:lineChart>
      <c:catAx>
        <c:axId val="134061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45690608"/>
        <c:crosses val="autoZero"/>
        <c:auto val="1"/>
        <c:lblAlgn val="ctr"/>
        <c:lblOffset val="100"/>
        <c:noMultiLvlLbl val="0"/>
      </c:catAx>
      <c:valAx>
        <c:axId val="1345690608"/>
        <c:scaling>
          <c:orientation val="minMax"/>
          <c:min val="4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Rate per 100,000</a:t>
                </a:r>
              </a:p>
            </c:rich>
          </c:tx>
          <c:layout>
            <c:manualLayout>
              <c:xMode val="edge"/>
              <c:yMode val="edge"/>
              <c:x val="1.8079096045197741E-2"/>
              <c:y val="0.22469805198400833"/>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40615664"/>
        <c:crosses val="autoZero"/>
        <c:crossBetween val="between"/>
      </c:valAx>
      <c:spPr>
        <a:noFill/>
        <a:ln>
          <a:noFill/>
        </a:ln>
        <a:effectLst/>
      </c:spPr>
    </c:plotArea>
    <c:legend>
      <c:legendPos val="b"/>
      <c:layout>
        <c:manualLayout>
          <c:xMode val="edge"/>
          <c:yMode val="edge"/>
          <c:x val="1.8337939545636266E-2"/>
          <c:y val="0.85840040207739998"/>
          <c:w val="0.96784376529205041"/>
          <c:h val="0.1359735096404088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Source:</a:t>
            </a:r>
            <a:r>
              <a:rPr lang="en-GB" sz="1200" baseline="0"/>
              <a:t> </a:t>
            </a:r>
            <a:r>
              <a:rPr lang="en-GB" sz="1200"/>
              <a:t>National MSG Data (Acute Specialties)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'Bed Days'!$B$10:$B$15</c:f>
              <c:strCache>
                <c:ptCount val="6"/>
                <c:pt idx="0">
                  <c:v>2018/19</c:v>
                </c:pt>
                <c:pt idx="1">
                  <c:v>2019/20</c:v>
                </c:pt>
                <c:pt idx="2">
                  <c:v>2020/21</c:v>
                </c:pt>
                <c:pt idx="3">
                  <c:v>2021/22 </c:v>
                </c:pt>
                <c:pt idx="4">
                  <c:v>2022/23</c:v>
                </c:pt>
                <c:pt idx="5">
                  <c:v>2023/24 </c:v>
                </c:pt>
              </c:strCache>
            </c:strRef>
          </c:cat>
          <c:val>
            <c:numRef>
              <c:f>'Bed Days'!$C$10:$C$15</c:f>
              <c:numCache>
                <c:formatCode>General</c:formatCode>
                <c:ptCount val="6"/>
                <c:pt idx="0" formatCode="#,##0">
                  <c:v>87409</c:v>
                </c:pt>
                <c:pt idx="1">
                  <c:v>84465</c:v>
                </c:pt>
                <c:pt idx="2" formatCode="#,##0">
                  <c:v>68307</c:v>
                </c:pt>
                <c:pt idx="3" formatCode="#,##0">
                  <c:v>76599</c:v>
                </c:pt>
                <c:pt idx="4" formatCode="#,##0">
                  <c:v>80554</c:v>
                </c:pt>
                <c:pt idx="5" formatCode="#,##0">
                  <c:v>81277</c:v>
                </c:pt>
              </c:numCache>
            </c:numRef>
          </c:val>
          <c:smooth val="0"/>
          <c:extLst>
            <c:ext xmlns:c16="http://schemas.microsoft.com/office/drawing/2014/chart" uri="{C3380CC4-5D6E-409C-BE32-E72D297353CC}">
              <c16:uniqueId val="{00000001-3F23-4673-ACE0-61B11E20B82A}"/>
            </c:ext>
          </c:extLst>
        </c:ser>
        <c:dLbls>
          <c:dLblPos val="t"/>
          <c:showLegendKey val="0"/>
          <c:showVal val="1"/>
          <c:showCatName val="0"/>
          <c:showSerName val="0"/>
          <c:showPercent val="0"/>
          <c:showBubbleSize val="0"/>
        </c:dLbls>
        <c:smooth val="0"/>
        <c:axId val="160982367"/>
        <c:axId val="267428031"/>
      </c:lineChart>
      <c:catAx>
        <c:axId val="1609823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67428031"/>
        <c:crosses val="autoZero"/>
        <c:auto val="1"/>
        <c:lblAlgn val="ctr"/>
        <c:lblOffset val="100"/>
        <c:noMultiLvlLbl val="0"/>
      </c:catAx>
      <c:valAx>
        <c:axId val="267428031"/>
        <c:scaling>
          <c:orientation val="minMax"/>
          <c:min val="6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60982367"/>
        <c:crosses val="autoZero"/>
        <c:crossBetween val="between"/>
        <c:majorUnit val="1000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National MSG Data</a:t>
            </a:r>
            <a:r>
              <a:rPr lang="en-GB" sz="1200" baseline="0"/>
              <a:t> (Mental Health Specialties)</a:t>
            </a:r>
            <a:endParaRPr lang="en-GB"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017149879386464"/>
          <c:y val="0.29051645525306108"/>
          <c:w val="0.74741796003823224"/>
          <c:h val="0.40477997151082507"/>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'Mental Health'!$B$10:$B$15</c:f>
              <c:strCache>
                <c:ptCount val="6"/>
                <c:pt idx="0">
                  <c:v>2018/19</c:v>
                </c:pt>
                <c:pt idx="1">
                  <c:v>2019/20</c:v>
                </c:pt>
                <c:pt idx="2">
                  <c:v>2020/21</c:v>
                </c:pt>
                <c:pt idx="3">
                  <c:v>2021/22 </c:v>
                </c:pt>
                <c:pt idx="4">
                  <c:v>2022/23</c:v>
                </c:pt>
                <c:pt idx="5">
                  <c:v>2023/24 </c:v>
                </c:pt>
              </c:strCache>
            </c:strRef>
          </c:cat>
          <c:val>
            <c:numRef>
              <c:f>'Mental Health'!$C$10:$C$15</c:f>
              <c:numCache>
                <c:formatCode>#,##0</c:formatCode>
                <c:ptCount val="6"/>
                <c:pt idx="0">
                  <c:v>35293.297349618973</c:v>
                </c:pt>
                <c:pt idx="1">
                  <c:v>37362</c:v>
                </c:pt>
                <c:pt idx="2">
                  <c:v>33226</c:v>
                </c:pt>
                <c:pt idx="3">
                  <c:v>28397</c:v>
                </c:pt>
                <c:pt idx="4">
                  <c:v>32257</c:v>
                </c:pt>
                <c:pt idx="5">
                  <c:v>30546</c:v>
                </c:pt>
              </c:numCache>
            </c:numRef>
          </c:val>
          <c:smooth val="0"/>
          <c:extLst>
            <c:ext xmlns:c16="http://schemas.microsoft.com/office/drawing/2014/chart" uri="{C3380CC4-5D6E-409C-BE32-E72D297353CC}">
              <c16:uniqueId val="{00000001-3D41-482C-B5FF-BF91F6C7135A}"/>
            </c:ext>
          </c:extLst>
        </c:ser>
        <c:dLbls>
          <c:dLblPos val="t"/>
          <c:showLegendKey val="0"/>
          <c:showVal val="1"/>
          <c:showCatName val="0"/>
          <c:showSerName val="0"/>
          <c:showPercent val="0"/>
          <c:showBubbleSize val="0"/>
        </c:dLbls>
        <c:smooth val="0"/>
        <c:axId val="610963136"/>
        <c:axId val="622729552"/>
      </c:lineChart>
      <c:catAx>
        <c:axId val="61096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22729552"/>
        <c:crosses val="autoZero"/>
        <c:auto val="1"/>
        <c:lblAlgn val="ctr"/>
        <c:lblOffset val="100"/>
        <c:noMultiLvlLbl val="0"/>
      </c:catAx>
      <c:valAx>
        <c:axId val="622729552"/>
        <c:scaling>
          <c:orientation val="minMax"/>
          <c:min val="2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1096313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Source:</a:t>
            </a:r>
            <a:r>
              <a:rPr lang="en-US" sz="1100" baseline="0"/>
              <a:t> NHST BSU</a:t>
            </a:r>
            <a:endParaRPr lang="en-US" sz="1100"/>
          </a:p>
        </c:rich>
      </c:tx>
      <c:layout>
        <c:manualLayout>
          <c:xMode val="edge"/>
          <c:yMode val="edge"/>
          <c:x val="0.27786779229915848"/>
          <c:y val="3.2880816905186121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787618042590034"/>
          <c:y val="0.20637507902753033"/>
          <c:w val="0.75391941986633115"/>
          <c:h val="0.65965860106902696"/>
        </c:manualLayout>
      </c:layout>
      <c:barChart>
        <c:barDir val="col"/>
        <c:grouping val="clustered"/>
        <c:varyColors val="0"/>
        <c:ser>
          <c:idx val="0"/>
          <c:order val="0"/>
          <c:tx>
            <c:strRef>
              <c:f>'[workings Q4.xlsx]Readm28'!$B$39</c:f>
              <c:strCache>
                <c:ptCount val="1"/>
                <c:pt idx="0">
                  <c:v>% Diff from 1819 Baseline</c:v>
                </c:pt>
              </c:strCache>
            </c:strRef>
          </c:tx>
          <c:spPr>
            <a:solidFill>
              <a:schemeClr val="accent1"/>
            </a:solidFill>
            <a:ln>
              <a:noFill/>
            </a:ln>
            <a:effectLst/>
          </c:spPr>
          <c:invertIfNegative val="0"/>
          <c:cat>
            <c:strRef>
              <c:f>'[workings Q4.xlsx]Readm28'!$A$40:$A$48</c:f>
              <c:strCache>
                <c:ptCount val="9"/>
                <c:pt idx="0">
                  <c:v>D</c:v>
                </c:pt>
                <c:pt idx="1">
                  <c:v>C</c:v>
                </c:pt>
                <c:pt idx="2">
                  <c:v>EE</c:v>
                </c:pt>
                <c:pt idx="3">
                  <c:v>L</c:v>
                </c:pt>
                <c:pt idx="4">
                  <c:v>M</c:v>
                </c:pt>
                <c:pt idx="5">
                  <c:v>NE</c:v>
                </c:pt>
                <c:pt idx="6">
                  <c:v>S</c:v>
                </c:pt>
                <c:pt idx="7">
                  <c:v>TF</c:v>
                </c:pt>
                <c:pt idx="8">
                  <c:v>WE</c:v>
                </c:pt>
              </c:strCache>
            </c:strRef>
          </c:cat>
          <c:val>
            <c:numRef>
              <c:f>'[workings Q4.xlsx]Readm28'!$B$40:$B$48</c:f>
              <c:numCache>
                <c:formatCode>0</c:formatCode>
                <c:ptCount val="9"/>
                <c:pt idx="0">
                  <c:v>8.8588664452129411</c:v>
                </c:pt>
                <c:pt idx="1">
                  <c:v>15.779969879518063</c:v>
                </c:pt>
                <c:pt idx="2">
                  <c:v>-6.1824523809523813</c:v>
                </c:pt>
                <c:pt idx="3">
                  <c:v>10.559062801932383</c:v>
                </c:pt>
                <c:pt idx="4">
                  <c:v>10.154240000000001</c:v>
                </c:pt>
                <c:pt idx="5">
                  <c:v>12.372368421052638</c:v>
                </c:pt>
                <c:pt idx="6">
                  <c:v>4.2040225225225187</c:v>
                </c:pt>
                <c:pt idx="7">
                  <c:v>12.661551839464879</c:v>
                </c:pt>
                <c:pt idx="8">
                  <c:v>20.296647773279332</c:v>
                </c:pt>
              </c:numCache>
            </c:numRef>
          </c:val>
          <c:extLst>
            <c:ext xmlns:c16="http://schemas.microsoft.com/office/drawing/2014/chart" uri="{C3380CC4-5D6E-409C-BE32-E72D297353CC}">
              <c16:uniqueId val="{00000000-024B-484A-AA9F-394DEA11F450}"/>
            </c:ext>
          </c:extLst>
        </c:ser>
        <c:dLbls>
          <c:showLegendKey val="0"/>
          <c:showVal val="0"/>
          <c:showCatName val="0"/>
          <c:showSerName val="0"/>
          <c:showPercent val="0"/>
          <c:showBubbleSize val="0"/>
        </c:dLbls>
        <c:gapWidth val="219"/>
        <c:overlap val="-27"/>
        <c:axId val="2031658816"/>
        <c:axId val="2081022048"/>
      </c:barChart>
      <c:catAx>
        <c:axId val="2031658816"/>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LCPP</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81022048"/>
        <c:crosses val="autoZero"/>
        <c:auto val="1"/>
        <c:lblAlgn val="ctr"/>
        <c:lblOffset val="100"/>
        <c:noMultiLvlLbl val="0"/>
      </c:catAx>
      <c:valAx>
        <c:axId val="2081022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a:t>
                </a:r>
                <a:r>
                  <a:rPr lang="en-GB" sz="800" baseline="0"/>
                  <a:t> Difference</a:t>
                </a:r>
                <a:endParaRPr lang="en-GB" sz="800"/>
              </a:p>
            </c:rich>
          </c:tx>
          <c:layout>
            <c:manualLayout>
              <c:xMode val="edge"/>
              <c:yMode val="edge"/>
              <c:x val="6.8728522336769758E-3"/>
              <c:y val="0.23557215931950112"/>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B"/>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3165881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Source: NHST BSU</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996190860757791"/>
          <c:y val="0.223793405134703"/>
          <c:w val="0.73370805572380371"/>
          <c:h val="0.48530002715177845"/>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'[workings Q4.xlsx]Adm'!$A$42:$A$50</c:f>
              <c:strCache>
                <c:ptCount val="9"/>
                <c:pt idx="0">
                  <c:v>D</c:v>
                </c:pt>
                <c:pt idx="1">
                  <c:v>C</c:v>
                </c:pt>
                <c:pt idx="2">
                  <c:v>EE</c:v>
                </c:pt>
                <c:pt idx="3">
                  <c:v>L</c:v>
                </c:pt>
                <c:pt idx="4">
                  <c:v>M</c:v>
                </c:pt>
                <c:pt idx="5">
                  <c:v>NE</c:v>
                </c:pt>
                <c:pt idx="6">
                  <c:v>S</c:v>
                </c:pt>
                <c:pt idx="7">
                  <c:v>TF</c:v>
                </c:pt>
                <c:pt idx="8">
                  <c:v>WE</c:v>
                </c:pt>
              </c:strCache>
            </c:strRef>
          </c:cat>
          <c:val>
            <c:numRef>
              <c:f>'[workings Q4.xlsx]Adm'!$B$42:$B$50</c:f>
              <c:numCache>
                <c:formatCode>0.0</c:formatCode>
                <c:ptCount val="9"/>
                <c:pt idx="0">
                  <c:v>13.99559763552649</c:v>
                </c:pt>
                <c:pt idx="1">
                  <c:v>5.9567794687681852</c:v>
                </c:pt>
                <c:pt idx="2">
                  <c:v>3.7345224945334583</c:v>
                </c:pt>
                <c:pt idx="3">
                  <c:v>12.36275337837837</c:v>
                </c:pt>
                <c:pt idx="4">
                  <c:v>17.485976188902459</c:v>
                </c:pt>
                <c:pt idx="5">
                  <c:v>15.878591596080383</c:v>
                </c:pt>
                <c:pt idx="6">
                  <c:v>23.845978042896288</c:v>
                </c:pt>
                <c:pt idx="7">
                  <c:v>18.291486518189998</c:v>
                </c:pt>
                <c:pt idx="8">
                  <c:v>15.351276392048243</c:v>
                </c:pt>
              </c:numCache>
            </c:numRef>
          </c:val>
          <c:extLst>
            <c:ext xmlns:c16="http://schemas.microsoft.com/office/drawing/2014/chart" uri="{C3380CC4-5D6E-409C-BE32-E72D297353CC}">
              <c16:uniqueId val="{00000000-665B-4673-8ECA-26B05B64CD14}"/>
            </c:ext>
          </c:extLst>
        </c:ser>
        <c:dLbls>
          <c:dLblPos val="outEnd"/>
          <c:showLegendKey val="0"/>
          <c:showVal val="1"/>
          <c:showCatName val="0"/>
          <c:showSerName val="0"/>
          <c:showPercent val="0"/>
          <c:showBubbleSize val="0"/>
        </c:dLbls>
        <c:gapWidth val="219"/>
        <c:overlap val="-27"/>
        <c:axId val="1325458047"/>
        <c:axId val="1323921359"/>
      </c:barChart>
      <c:catAx>
        <c:axId val="1325458047"/>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LCPP</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3921359"/>
        <c:crosses val="autoZero"/>
        <c:auto val="1"/>
        <c:lblAlgn val="ctr"/>
        <c:lblOffset val="100"/>
        <c:noMultiLvlLbl val="0"/>
      </c:catAx>
      <c:valAx>
        <c:axId val="13239213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 Difference</a:t>
                </a:r>
              </a:p>
            </c:rich>
          </c:tx>
          <c:layout>
            <c:manualLayout>
              <c:xMode val="edge"/>
              <c:yMode val="edge"/>
              <c:x val="8.6627633084325993E-3"/>
              <c:y val="0.2389272030651341"/>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25458047"/>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Source: NHST BSU</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'[workings Q4.xlsx]Readm28'!$B$53</c:f>
              <c:strCache>
                <c:ptCount val="1"/>
                <c:pt idx="0">
                  <c:v>Rate</c:v>
                </c:pt>
              </c:strCache>
            </c:strRef>
          </c:tx>
          <c:spPr>
            <a:ln w="28575" cap="rnd">
              <a:solidFill>
                <a:schemeClr val="accent1"/>
              </a:solidFill>
              <a:round/>
            </a:ln>
            <a:effectLst/>
          </c:spPr>
          <c:marker>
            <c:symbol val="none"/>
          </c:marker>
          <c:dLbls>
            <c:dLbl>
              <c:idx val="0"/>
              <c:layout>
                <c:manualLayout>
                  <c:x val="-4.9586776859504182E-2"/>
                  <c:y val="6.83760683760683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ADD-4EF3-BB80-E5D611522C16}"/>
                </c:ext>
              </c:extLst>
            </c:dLbl>
            <c:dLbl>
              <c:idx val="1"/>
              <c:layout>
                <c:manualLayout>
                  <c:x val="-6.0606060606060608E-2"/>
                  <c:y val="6.83760683760683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ADD-4EF3-BB80-E5D611522C16}"/>
                </c:ext>
              </c:extLst>
            </c:dLbl>
            <c:dLbl>
              <c:idx val="2"/>
              <c:layout>
                <c:manualLayout>
                  <c:x val="-6.6115702479338942E-2"/>
                  <c:y val="5.12820512820512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ADD-4EF3-BB80-E5D611522C16}"/>
                </c:ext>
              </c:extLst>
            </c:dLbl>
            <c:dLbl>
              <c:idx val="3"/>
              <c:layout>
                <c:manualLayout>
                  <c:x val="-6.0606060606060608E-2"/>
                  <c:y val="5.1282051282051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ADD-4EF3-BB80-E5D611522C1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'[workings Q4.xlsx]Readm28'!$A$56:$A$59</c:f>
              <c:strCache>
                <c:ptCount val="4"/>
                <c:pt idx="0">
                  <c:v>Q1</c:v>
                </c:pt>
                <c:pt idx="1">
                  <c:v>Q2</c:v>
                </c:pt>
                <c:pt idx="2">
                  <c:v>Q3</c:v>
                </c:pt>
                <c:pt idx="3">
                  <c:v>Q4</c:v>
                </c:pt>
              </c:strCache>
            </c:strRef>
          </c:cat>
          <c:val>
            <c:numRef>
              <c:f>'[workings Q4.xlsx]Readm28'!$B$56:$B$59</c:f>
              <c:numCache>
                <c:formatCode>General</c:formatCode>
                <c:ptCount val="4"/>
                <c:pt idx="0">
                  <c:v>140</c:v>
                </c:pt>
                <c:pt idx="1">
                  <c:v>145</c:v>
                </c:pt>
                <c:pt idx="2">
                  <c:v>150</c:v>
                </c:pt>
                <c:pt idx="3">
                  <c:v>153</c:v>
                </c:pt>
              </c:numCache>
            </c:numRef>
          </c:val>
          <c:smooth val="0"/>
          <c:extLst>
            <c:ext xmlns:c16="http://schemas.microsoft.com/office/drawing/2014/chart" uri="{C3380CC4-5D6E-409C-BE32-E72D297353CC}">
              <c16:uniqueId val="{00000000-8ADD-4EF3-BB80-E5D611522C16}"/>
            </c:ext>
          </c:extLst>
        </c:ser>
        <c:dLbls>
          <c:showLegendKey val="0"/>
          <c:showVal val="0"/>
          <c:showCatName val="0"/>
          <c:showSerName val="0"/>
          <c:showPercent val="0"/>
          <c:showBubbleSize val="0"/>
        </c:dLbls>
        <c:smooth val="0"/>
        <c:axId val="2092143648"/>
        <c:axId val="2090349552"/>
      </c:lineChart>
      <c:catAx>
        <c:axId val="2092143648"/>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Quarter</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90349552"/>
        <c:crosses val="autoZero"/>
        <c:auto val="1"/>
        <c:lblAlgn val="ctr"/>
        <c:lblOffset val="100"/>
        <c:noMultiLvlLbl val="0"/>
      </c:catAx>
      <c:valAx>
        <c:axId val="2090349552"/>
        <c:scaling>
          <c:orientation val="minMax"/>
          <c:max val="160"/>
          <c:min val="1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Rate</a:t>
                </a:r>
                <a:r>
                  <a:rPr lang="en-GB" sz="800" baseline="0"/>
                  <a:t> per 1,000 admissions</a:t>
                </a:r>
                <a:endParaRPr lang="en-GB" sz="800"/>
              </a:p>
            </c:rich>
          </c:tx>
          <c:layout>
            <c:manualLayout>
              <c:xMode val="edge"/>
              <c:yMode val="edge"/>
              <c:x val="2.2038567493112948E-2"/>
              <c:y val="0.14705161854768153"/>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921436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sz="1100"/>
              <a:t>Source: NHST BSU</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420806912410284"/>
          <c:y val="0.15978682542730938"/>
          <c:w val="0.82609574245697159"/>
          <c:h val="0.44201075475321688"/>
        </c:manualLayout>
      </c:layout>
      <c:lineChart>
        <c:grouping val="standard"/>
        <c:varyColors val="0"/>
        <c:ser>
          <c:idx val="0"/>
          <c:order val="0"/>
          <c:tx>
            <c:strRef>
              <c:f>'[workings Q4.xlsx]Readm28'!$B$66</c:f>
              <c:strCache>
                <c:ptCount val="1"/>
                <c:pt idx="0">
                  <c:v>Dundee</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'[workings Q4.xlsx]Readm28'!$A$67:$A$77</c:f>
              <c:strCache>
                <c:ptCount val="11"/>
                <c:pt idx="0">
                  <c:v>15/16</c:v>
                </c:pt>
                <c:pt idx="1">
                  <c:v>16/17</c:v>
                </c:pt>
                <c:pt idx="2">
                  <c:v>17/18</c:v>
                </c:pt>
                <c:pt idx="3">
                  <c:v>18/19</c:v>
                </c:pt>
                <c:pt idx="4">
                  <c:v>19/20</c:v>
                </c:pt>
                <c:pt idx="5">
                  <c:v>20/21</c:v>
                </c:pt>
                <c:pt idx="6">
                  <c:v>21/22</c:v>
                </c:pt>
                <c:pt idx="7">
                  <c:v>22/23</c:v>
                </c:pt>
                <c:pt idx="8">
                  <c:v>23/24 at Q2</c:v>
                </c:pt>
                <c:pt idx="9">
                  <c:v>23/24 at Q3</c:v>
                </c:pt>
                <c:pt idx="10">
                  <c:v>23/24 at Q4</c:v>
                </c:pt>
              </c:strCache>
            </c:strRef>
          </c:cat>
          <c:val>
            <c:numRef>
              <c:f>'[workings Q4.xlsx]Readm28'!$B$67:$B$77</c:f>
              <c:numCache>
                <c:formatCode>General</c:formatCode>
                <c:ptCount val="11"/>
                <c:pt idx="0">
                  <c:v>133</c:v>
                </c:pt>
                <c:pt idx="1">
                  <c:v>132</c:v>
                </c:pt>
                <c:pt idx="2">
                  <c:v>153</c:v>
                </c:pt>
                <c:pt idx="3">
                  <c:v>140</c:v>
                </c:pt>
                <c:pt idx="4">
                  <c:v>140</c:v>
                </c:pt>
                <c:pt idx="5">
                  <c:v>140</c:v>
                </c:pt>
                <c:pt idx="6">
                  <c:v>139</c:v>
                </c:pt>
                <c:pt idx="7">
                  <c:v>139</c:v>
                </c:pt>
                <c:pt idx="8">
                  <c:v>140</c:v>
                </c:pt>
                <c:pt idx="9">
                  <c:v>150</c:v>
                </c:pt>
                <c:pt idx="10">
                  <c:v>153</c:v>
                </c:pt>
              </c:numCache>
            </c:numRef>
          </c:val>
          <c:smooth val="0"/>
          <c:extLst>
            <c:ext xmlns:c16="http://schemas.microsoft.com/office/drawing/2014/chart" uri="{C3380CC4-5D6E-409C-BE32-E72D297353CC}">
              <c16:uniqueId val="{00000001-FD6E-412E-9E32-1B48C82894C2}"/>
            </c:ext>
          </c:extLst>
        </c:ser>
        <c:ser>
          <c:idx val="1"/>
          <c:order val="1"/>
          <c:tx>
            <c:strRef>
              <c:f>'[workings Q4.xlsx]Readm28'!$C$66</c:f>
              <c:strCache>
                <c:ptCount val="1"/>
                <c:pt idx="0">
                  <c:v>highest at Q4 Maryfield</c:v>
                </c:pt>
              </c:strCache>
            </c:strRef>
          </c:tx>
          <c:spPr>
            <a:ln w="28575" cap="rnd">
              <a:solidFill>
                <a:schemeClr val="accent2"/>
              </a:solidFill>
              <a:round/>
            </a:ln>
            <a:effectLst/>
          </c:spPr>
          <c:marker>
            <c:symbol val="none"/>
          </c:marker>
          <c:cat>
            <c:strRef>
              <c:f>'[workings Q4.xlsx]Readm28'!$A$67:$A$77</c:f>
              <c:strCache>
                <c:ptCount val="11"/>
                <c:pt idx="0">
                  <c:v>15/16</c:v>
                </c:pt>
                <c:pt idx="1">
                  <c:v>16/17</c:v>
                </c:pt>
                <c:pt idx="2">
                  <c:v>17/18</c:v>
                </c:pt>
                <c:pt idx="3">
                  <c:v>18/19</c:v>
                </c:pt>
                <c:pt idx="4">
                  <c:v>19/20</c:v>
                </c:pt>
                <c:pt idx="5">
                  <c:v>20/21</c:v>
                </c:pt>
                <c:pt idx="6">
                  <c:v>21/22</c:v>
                </c:pt>
                <c:pt idx="7">
                  <c:v>22/23</c:v>
                </c:pt>
                <c:pt idx="8">
                  <c:v>23/24 at Q2</c:v>
                </c:pt>
                <c:pt idx="9">
                  <c:v>23/24 at Q3</c:v>
                </c:pt>
                <c:pt idx="10">
                  <c:v>23/24 at Q4</c:v>
                </c:pt>
              </c:strCache>
            </c:strRef>
          </c:cat>
          <c:val>
            <c:numRef>
              <c:f>'[workings Q4.xlsx]Readm28'!$C$67:$C$77</c:f>
              <c:numCache>
                <c:formatCode>General</c:formatCode>
                <c:ptCount val="11"/>
                <c:pt idx="0">
                  <c:v>134</c:v>
                </c:pt>
                <c:pt idx="1">
                  <c:v>148</c:v>
                </c:pt>
                <c:pt idx="2">
                  <c:v>178</c:v>
                </c:pt>
                <c:pt idx="3">
                  <c:v>149</c:v>
                </c:pt>
                <c:pt idx="4">
                  <c:v>141</c:v>
                </c:pt>
                <c:pt idx="5">
                  <c:v>135</c:v>
                </c:pt>
                <c:pt idx="6">
                  <c:v>128</c:v>
                </c:pt>
                <c:pt idx="7">
                  <c:v>130</c:v>
                </c:pt>
                <c:pt idx="8">
                  <c:v>139</c:v>
                </c:pt>
                <c:pt idx="9">
                  <c:v>149</c:v>
                </c:pt>
                <c:pt idx="10" formatCode="0">
                  <c:v>164</c:v>
                </c:pt>
              </c:numCache>
            </c:numRef>
          </c:val>
          <c:smooth val="0"/>
          <c:extLst>
            <c:ext xmlns:c16="http://schemas.microsoft.com/office/drawing/2014/chart" uri="{C3380CC4-5D6E-409C-BE32-E72D297353CC}">
              <c16:uniqueId val="{00000002-FD6E-412E-9E32-1B48C82894C2}"/>
            </c:ext>
          </c:extLst>
        </c:ser>
        <c:ser>
          <c:idx val="2"/>
          <c:order val="2"/>
          <c:tx>
            <c:strRef>
              <c:f>'[workings Q4.xlsx]Readm28'!$D$66</c:f>
              <c:strCache>
                <c:ptCount val="1"/>
                <c:pt idx="0">
                  <c:v>lowest at Q4 The Ferry</c:v>
                </c:pt>
              </c:strCache>
            </c:strRef>
          </c:tx>
          <c:spPr>
            <a:ln w="28575" cap="rnd">
              <a:solidFill>
                <a:schemeClr val="accent3"/>
              </a:solidFill>
              <a:round/>
            </a:ln>
            <a:effectLst/>
          </c:spPr>
          <c:marker>
            <c:symbol val="none"/>
          </c:marker>
          <c:cat>
            <c:strRef>
              <c:f>'[workings Q4.xlsx]Readm28'!$A$67:$A$77</c:f>
              <c:strCache>
                <c:ptCount val="11"/>
                <c:pt idx="0">
                  <c:v>15/16</c:v>
                </c:pt>
                <c:pt idx="1">
                  <c:v>16/17</c:v>
                </c:pt>
                <c:pt idx="2">
                  <c:v>17/18</c:v>
                </c:pt>
                <c:pt idx="3">
                  <c:v>18/19</c:v>
                </c:pt>
                <c:pt idx="4">
                  <c:v>19/20</c:v>
                </c:pt>
                <c:pt idx="5">
                  <c:v>20/21</c:v>
                </c:pt>
                <c:pt idx="6">
                  <c:v>21/22</c:v>
                </c:pt>
                <c:pt idx="7">
                  <c:v>22/23</c:v>
                </c:pt>
                <c:pt idx="8">
                  <c:v>23/24 at Q2</c:v>
                </c:pt>
                <c:pt idx="9">
                  <c:v>23/24 at Q3</c:v>
                </c:pt>
                <c:pt idx="10">
                  <c:v>23/24 at Q4</c:v>
                </c:pt>
              </c:strCache>
            </c:strRef>
          </c:cat>
          <c:val>
            <c:numRef>
              <c:f>'[workings Q4.xlsx]Readm28'!$D$67:$D$77</c:f>
              <c:numCache>
                <c:formatCode>General</c:formatCode>
                <c:ptCount val="11"/>
                <c:pt idx="0">
                  <c:v>111</c:v>
                </c:pt>
                <c:pt idx="1">
                  <c:v>104</c:v>
                </c:pt>
                <c:pt idx="2">
                  <c:v>139</c:v>
                </c:pt>
                <c:pt idx="3">
                  <c:v>119</c:v>
                </c:pt>
                <c:pt idx="4">
                  <c:v>111</c:v>
                </c:pt>
                <c:pt idx="5">
                  <c:v>116</c:v>
                </c:pt>
                <c:pt idx="6">
                  <c:v>114</c:v>
                </c:pt>
                <c:pt idx="7">
                  <c:v>116</c:v>
                </c:pt>
                <c:pt idx="8">
                  <c:v>132</c:v>
                </c:pt>
                <c:pt idx="9">
                  <c:v>140</c:v>
                </c:pt>
                <c:pt idx="10">
                  <c:v>134</c:v>
                </c:pt>
              </c:numCache>
            </c:numRef>
          </c:val>
          <c:smooth val="0"/>
          <c:extLst>
            <c:ext xmlns:c16="http://schemas.microsoft.com/office/drawing/2014/chart" uri="{C3380CC4-5D6E-409C-BE32-E72D297353CC}">
              <c16:uniqueId val="{00000003-FD6E-412E-9E32-1B48C82894C2}"/>
            </c:ext>
          </c:extLst>
        </c:ser>
        <c:dLbls>
          <c:showLegendKey val="0"/>
          <c:showVal val="0"/>
          <c:showCatName val="0"/>
          <c:showSerName val="0"/>
          <c:showPercent val="0"/>
          <c:showBubbleSize val="0"/>
        </c:dLbls>
        <c:smooth val="0"/>
        <c:axId val="735920943"/>
        <c:axId val="281525359"/>
      </c:lineChart>
      <c:catAx>
        <c:axId val="735920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81525359"/>
        <c:crosses val="autoZero"/>
        <c:auto val="1"/>
        <c:lblAlgn val="ctr"/>
        <c:lblOffset val="100"/>
        <c:noMultiLvlLbl val="0"/>
      </c:catAx>
      <c:valAx>
        <c:axId val="281525359"/>
        <c:scaling>
          <c:orientation val="minMax"/>
          <c:max val="180"/>
          <c:min val="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Rate per 1,000 Admissions</a:t>
                </a:r>
              </a:p>
            </c:rich>
          </c:tx>
          <c:layout>
            <c:manualLayout>
              <c:xMode val="edge"/>
              <c:yMode val="edge"/>
              <c:x val="8.3333333333333332E-3"/>
              <c:y val="0.19059383202099739"/>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35920943"/>
        <c:crosses val="autoZero"/>
        <c:crossBetween val="between"/>
        <c:majorUnit val="20"/>
      </c:valAx>
      <c:spPr>
        <a:noFill/>
        <a:ln>
          <a:noFill/>
        </a:ln>
        <a:effectLst/>
      </c:spPr>
    </c:plotArea>
    <c:legend>
      <c:legendPos val="b"/>
      <c:layout>
        <c:manualLayout>
          <c:xMode val="edge"/>
          <c:yMode val="edge"/>
          <c:x val="3.0850811790119149E-2"/>
          <c:y val="0.81604090647205674"/>
          <c:w val="0.96914918820988083"/>
          <c:h val="0.1839590935279431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5973328478449"/>
          <c:y val="8.477842003853564E-2"/>
          <c:w val="0.80853561512903371"/>
          <c:h val="0.54501175792332324"/>
        </c:manualLayout>
      </c:layout>
      <c:lineChart>
        <c:grouping val="standard"/>
        <c:varyColors val="0"/>
        <c:ser>
          <c:idx val="0"/>
          <c:order val="0"/>
          <c:tx>
            <c:strRef>
              <c:f>Sheet1!$A$2</c:f>
              <c:strCache>
                <c:ptCount val="1"/>
                <c:pt idx="0">
                  <c:v>Dundee</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Sheet1!$B$1:$I$1</c:f>
              <c:strCache>
                <c:ptCount val="8"/>
                <c:pt idx="0">
                  <c:v>2016/17</c:v>
                </c:pt>
                <c:pt idx="1">
                  <c:v>2017/18</c:v>
                </c:pt>
                <c:pt idx="2">
                  <c:v>2018/19</c:v>
                </c:pt>
                <c:pt idx="3">
                  <c:v>2019/20</c:v>
                </c:pt>
                <c:pt idx="4">
                  <c:v>2020/21</c:v>
                </c:pt>
                <c:pt idx="5">
                  <c:v>2021/22</c:v>
                </c:pt>
                <c:pt idx="6">
                  <c:v>2022/23</c:v>
                </c:pt>
                <c:pt idx="7">
                  <c:v>2023</c:v>
                </c:pt>
              </c:strCache>
            </c:strRef>
          </c:cat>
          <c:val>
            <c:numRef>
              <c:f>Sheet1!$B$2:$I$2</c:f>
              <c:numCache>
                <c:formatCode>0.0%</c:formatCode>
                <c:ptCount val="8"/>
                <c:pt idx="0">
                  <c:v>0.873</c:v>
                </c:pt>
                <c:pt idx="1">
                  <c:v>0.88804379657046173</c:v>
                </c:pt>
                <c:pt idx="2">
                  <c:v>0.89178988185837493</c:v>
                </c:pt>
                <c:pt idx="3">
                  <c:v>0.89566165014004839</c:v>
                </c:pt>
                <c:pt idx="4">
                  <c:v>0.91468241970370034</c:v>
                </c:pt>
                <c:pt idx="5">
                  <c:v>0.91622605565018034</c:v>
                </c:pt>
                <c:pt idx="6">
                  <c:v>0.9003392800254858</c:v>
                </c:pt>
                <c:pt idx="7">
                  <c:v>0.90742145355870152</c:v>
                </c:pt>
              </c:numCache>
            </c:numRef>
          </c:val>
          <c:smooth val="0"/>
          <c:extLst>
            <c:ext xmlns:c16="http://schemas.microsoft.com/office/drawing/2014/chart" uri="{C3380CC4-5D6E-409C-BE32-E72D297353CC}">
              <c16:uniqueId val="{00000001-BA82-4FBC-B6AC-800BBF4DACE0}"/>
            </c:ext>
          </c:extLst>
        </c:ser>
        <c:ser>
          <c:idx val="1"/>
          <c:order val="1"/>
          <c:tx>
            <c:strRef>
              <c:f>Sheet1!$A$3</c:f>
              <c:strCache>
                <c:ptCount val="1"/>
                <c:pt idx="0">
                  <c:v>Scotland</c:v>
                </c:pt>
              </c:strCache>
            </c:strRef>
          </c:tx>
          <c:spPr>
            <a:ln w="28575" cap="rnd">
              <a:solidFill>
                <a:schemeClr val="accent2"/>
              </a:solidFill>
              <a:round/>
            </a:ln>
            <a:effectLst/>
          </c:spPr>
          <c:marker>
            <c:symbol val="none"/>
          </c:marker>
          <c:cat>
            <c:strRef>
              <c:f>Sheet1!$B$1:$I$1</c:f>
              <c:strCache>
                <c:ptCount val="8"/>
                <c:pt idx="0">
                  <c:v>2016/17</c:v>
                </c:pt>
                <c:pt idx="1">
                  <c:v>2017/18</c:v>
                </c:pt>
                <c:pt idx="2">
                  <c:v>2018/19</c:v>
                </c:pt>
                <c:pt idx="3">
                  <c:v>2019/20</c:v>
                </c:pt>
                <c:pt idx="4">
                  <c:v>2020/21</c:v>
                </c:pt>
                <c:pt idx="5">
                  <c:v>2021/22</c:v>
                </c:pt>
                <c:pt idx="6">
                  <c:v>2022/23</c:v>
                </c:pt>
                <c:pt idx="7">
                  <c:v>2023</c:v>
                </c:pt>
              </c:strCache>
            </c:strRef>
          </c:cat>
          <c:val>
            <c:numRef>
              <c:f>Sheet1!$B$3:$I$3</c:f>
              <c:numCache>
                <c:formatCode>0.0%</c:formatCode>
                <c:ptCount val="8"/>
                <c:pt idx="0">
                  <c:v>0.874</c:v>
                </c:pt>
                <c:pt idx="1">
                  <c:v>0.87963833460893981</c:v>
                </c:pt>
                <c:pt idx="2">
                  <c:v>0.8798079126220496</c:v>
                </c:pt>
                <c:pt idx="3">
                  <c:v>0.88234673421968335</c:v>
                </c:pt>
                <c:pt idx="4">
                  <c:v>0.90195972918803424</c:v>
                </c:pt>
                <c:pt idx="5">
                  <c:v>0.89651933425824804</c:v>
                </c:pt>
                <c:pt idx="6">
                  <c:v>0.8892354594583991</c:v>
                </c:pt>
                <c:pt idx="7">
                  <c:v>0.8914242628530884</c:v>
                </c:pt>
              </c:numCache>
            </c:numRef>
          </c:val>
          <c:smooth val="0"/>
          <c:extLst>
            <c:ext xmlns:c16="http://schemas.microsoft.com/office/drawing/2014/chart" uri="{C3380CC4-5D6E-409C-BE32-E72D297353CC}">
              <c16:uniqueId val="{00000002-BA82-4FBC-B6AC-800BBF4DACE0}"/>
            </c:ext>
          </c:extLst>
        </c:ser>
        <c:dLbls>
          <c:showLegendKey val="0"/>
          <c:showVal val="0"/>
          <c:showCatName val="0"/>
          <c:showSerName val="0"/>
          <c:showPercent val="0"/>
          <c:showBubbleSize val="0"/>
        </c:dLbls>
        <c:smooth val="0"/>
        <c:axId val="1843318352"/>
        <c:axId val="1843319312"/>
      </c:lineChart>
      <c:catAx>
        <c:axId val="1843318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843319312"/>
        <c:crosses val="autoZero"/>
        <c:auto val="1"/>
        <c:lblAlgn val="ctr"/>
        <c:lblOffset val="100"/>
        <c:noMultiLvlLbl val="0"/>
      </c:catAx>
      <c:valAx>
        <c:axId val="18433193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843318352"/>
        <c:crosses val="autoZero"/>
        <c:crossBetween val="between"/>
      </c:valAx>
      <c:spPr>
        <a:noFill/>
        <a:ln>
          <a:noFill/>
        </a:ln>
        <a:effectLst/>
      </c:spPr>
    </c:plotArea>
    <c:legend>
      <c:legendPos val="b"/>
      <c:layout>
        <c:manualLayout>
          <c:xMode val="edge"/>
          <c:yMode val="edge"/>
          <c:x val="0"/>
          <c:y val="0.83622168616206216"/>
          <c:w val="1"/>
          <c:h val="0.11753553927146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a:t>Source: NHST</a:t>
            </a:r>
            <a:r>
              <a:rPr lang="en-GB" sz="1200" b="0" baseline="0"/>
              <a:t> BSU</a:t>
            </a:r>
            <a:endParaRPr lang="en-GB" sz="1200" b="0"/>
          </a:p>
        </c:rich>
      </c:tx>
      <c:layout>
        <c:manualLayout>
          <c:xMode val="edge"/>
          <c:yMode val="edge"/>
          <c:x val="0.19639637584237138"/>
          <c:y val="5.7581573896353169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1949310845380113"/>
          <c:y val="0.23229404385872107"/>
          <c:w val="0.71912036891802866"/>
          <c:h val="0.54040533800837276"/>
        </c:manualLayout>
      </c:layout>
      <c:barChart>
        <c:barDir val="col"/>
        <c:grouping val="clustered"/>
        <c:varyColors val="0"/>
        <c:ser>
          <c:idx val="0"/>
          <c:order val="0"/>
          <c:spPr>
            <a:solidFill>
              <a:schemeClr val="accent1"/>
            </a:solidFill>
            <a:ln>
              <a:noFill/>
            </a:ln>
            <a:effectLst/>
          </c:spPr>
          <c:invertIfNegative val="0"/>
          <c:cat>
            <c:strRef>
              <c:f>'[workings Q4.xlsx]Falls'!$B$42:$B$50</c:f>
              <c:strCache>
                <c:ptCount val="9"/>
                <c:pt idx="0">
                  <c:v>Dundee</c:v>
                </c:pt>
                <c:pt idx="1">
                  <c:v>C</c:v>
                </c:pt>
                <c:pt idx="2">
                  <c:v>EE</c:v>
                </c:pt>
                <c:pt idx="3">
                  <c:v>L</c:v>
                </c:pt>
                <c:pt idx="4">
                  <c:v>MF</c:v>
                </c:pt>
                <c:pt idx="5">
                  <c:v>NE</c:v>
                </c:pt>
                <c:pt idx="6">
                  <c:v>SM</c:v>
                </c:pt>
                <c:pt idx="7">
                  <c:v>TF</c:v>
                </c:pt>
                <c:pt idx="8">
                  <c:v>WE</c:v>
                </c:pt>
              </c:strCache>
            </c:strRef>
          </c:cat>
          <c:val>
            <c:numRef>
              <c:f>'[workings Q4.xlsx]Falls'!$C$42:$C$50</c:f>
              <c:numCache>
                <c:formatCode>#,##0</c:formatCode>
                <c:ptCount val="9"/>
                <c:pt idx="0">
                  <c:v>20.136324484692185</c:v>
                </c:pt>
                <c:pt idx="1">
                  <c:v>-12.265013118974858</c:v>
                </c:pt>
                <c:pt idx="2">
                  <c:v>11.064156742220501</c:v>
                </c:pt>
                <c:pt idx="3">
                  <c:v>93.275287018056602</c:v>
                </c:pt>
                <c:pt idx="4">
                  <c:v>53.819409350932865</c:v>
                </c:pt>
                <c:pt idx="5">
                  <c:v>66.145833333333329</c:v>
                </c:pt>
                <c:pt idx="6">
                  <c:v>8.4344360220812398</c:v>
                </c:pt>
                <c:pt idx="7">
                  <c:v>8.7287185566927175</c:v>
                </c:pt>
                <c:pt idx="8">
                  <c:v>2.4685101175539943</c:v>
                </c:pt>
              </c:numCache>
            </c:numRef>
          </c:val>
          <c:extLst>
            <c:ext xmlns:c16="http://schemas.microsoft.com/office/drawing/2014/chart" uri="{C3380CC4-5D6E-409C-BE32-E72D297353CC}">
              <c16:uniqueId val="{00000000-7686-4A09-8DCE-8384196BFFD6}"/>
            </c:ext>
          </c:extLst>
        </c:ser>
        <c:dLbls>
          <c:showLegendKey val="0"/>
          <c:showVal val="0"/>
          <c:showCatName val="0"/>
          <c:showSerName val="0"/>
          <c:showPercent val="0"/>
          <c:showBubbleSize val="0"/>
        </c:dLbls>
        <c:gapWidth val="219"/>
        <c:overlap val="-27"/>
        <c:axId val="1116034687"/>
        <c:axId val="1250454303"/>
      </c:barChart>
      <c:catAx>
        <c:axId val="1116034687"/>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LCPP</a:t>
                </a:r>
              </a:p>
            </c:rich>
          </c:tx>
          <c:layout>
            <c:manualLayout>
              <c:xMode val="edge"/>
              <c:yMode val="edge"/>
              <c:x val="0.48271240009479188"/>
              <c:y val="0.9085901937243857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50454303"/>
        <c:crosses val="autoZero"/>
        <c:auto val="1"/>
        <c:lblAlgn val="ctr"/>
        <c:lblOffset val="100"/>
        <c:noMultiLvlLbl val="0"/>
      </c:catAx>
      <c:valAx>
        <c:axId val="12504543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a:t>
                </a:r>
                <a:r>
                  <a:rPr lang="en-GB" sz="800" baseline="0"/>
                  <a:t> Difference</a:t>
                </a:r>
                <a:endParaRPr lang="en-GB" sz="800"/>
              </a:p>
            </c:rich>
          </c:tx>
          <c:layout>
            <c:manualLayout>
              <c:xMode val="edge"/>
              <c:yMode val="edge"/>
              <c:x val="8.824259155218778E-3"/>
              <c:y val="0.31364501942055706"/>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B"/>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16034687"/>
        <c:crosses val="autoZero"/>
        <c:crossBetween val="between"/>
        <c:majorUnit val="2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a:t>Source:</a:t>
            </a:r>
            <a:r>
              <a:rPr lang="en-US" sz="1200" b="0" baseline="0"/>
              <a:t> NHST BSU</a:t>
            </a:r>
            <a:endParaRPr lang="en-US" sz="1200" b="0"/>
          </a:p>
        </c:rich>
      </c:tx>
      <c:layout>
        <c:manualLayout>
          <c:xMode val="edge"/>
          <c:yMode val="edge"/>
          <c:x val="0.36304155730533683"/>
          <c:y val="3.7037037037037035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126356357354065"/>
          <c:y val="0.21965175921637242"/>
          <c:w val="0.74235733191578912"/>
          <c:h val="0.5943636457207554"/>
        </c:manualLayout>
      </c:layout>
      <c:lineChart>
        <c:grouping val="standard"/>
        <c:varyColors val="0"/>
        <c:ser>
          <c:idx val="0"/>
          <c:order val="0"/>
          <c:tx>
            <c:strRef>
              <c:f>'[workings Q4.xlsx]Falls'!$B$60</c:f>
              <c:strCache>
                <c:ptCount val="1"/>
                <c:pt idx="0">
                  <c:v>Dundee</c:v>
                </c:pt>
              </c:strCache>
            </c:strRef>
          </c:tx>
          <c:spPr>
            <a:ln w="28575" cap="rnd">
              <a:solidFill>
                <a:schemeClr val="accent1"/>
              </a:solidFill>
              <a:round/>
            </a:ln>
            <a:effectLst/>
          </c:spPr>
          <c:marker>
            <c:symbol val="none"/>
          </c:marker>
          <c:dLbls>
            <c:dLbl>
              <c:idx val="0"/>
              <c:layout>
                <c:manualLayout>
                  <c:x val="-7.063313288370604E-2"/>
                  <c:y val="-7.74075789545914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8A9-4AD9-938B-393B7E858B47}"/>
                </c:ext>
              </c:extLst>
            </c:dLbl>
            <c:dLbl>
              <c:idx val="1"/>
              <c:layout>
                <c:manualLayout>
                  <c:x val="-7.0633132883705999E-2"/>
                  <c:y val="-7.74075789545915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8A9-4AD9-938B-393B7E858B47}"/>
                </c:ext>
              </c:extLst>
            </c:dLbl>
            <c:dLbl>
              <c:idx val="2"/>
              <c:layout>
                <c:manualLayout>
                  <c:x val="-7.0633132883705999E-2"/>
                  <c:y val="-8.61221759044825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8A9-4AD9-938B-393B7E858B47}"/>
                </c:ext>
              </c:extLst>
            </c:dLbl>
            <c:dLbl>
              <c:idx val="3"/>
              <c:layout>
                <c:manualLayout>
                  <c:x val="-7.0633132883705999E-2"/>
                  <c:y val="-7.74075789545914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8A9-4AD9-938B-393B7E858B4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'[workings Q4.xlsx]Falls'!$E$59:$H$59</c:f>
              <c:strCache>
                <c:ptCount val="4"/>
                <c:pt idx="0">
                  <c:v>Q1</c:v>
                </c:pt>
                <c:pt idx="1">
                  <c:v>Q2</c:v>
                </c:pt>
                <c:pt idx="2">
                  <c:v>Q3</c:v>
                </c:pt>
                <c:pt idx="3">
                  <c:v>Q4</c:v>
                </c:pt>
              </c:strCache>
            </c:strRef>
          </c:cat>
          <c:val>
            <c:numRef>
              <c:f>'[workings Q4.xlsx]Falls'!$E$60:$H$60</c:f>
              <c:numCache>
                <c:formatCode>0</c:formatCode>
                <c:ptCount val="4"/>
                <c:pt idx="0">
                  <c:v>33</c:v>
                </c:pt>
                <c:pt idx="1">
                  <c:v>34</c:v>
                </c:pt>
                <c:pt idx="2">
                  <c:v>35</c:v>
                </c:pt>
                <c:pt idx="3" formatCode="General">
                  <c:v>36</c:v>
                </c:pt>
              </c:numCache>
            </c:numRef>
          </c:val>
          <c:smooth val="0"/>
          <c:extLst>
            <c:ext xmlns:c16="http://schemas.microsoft.com/office/drawing/2014/chart" uri="{C3380CC4-5D6E-409C-BE32-E72D297353CC}">
              <c16:uniqueId val="{00000000-B8A9-4AD9-938B-393B7E858B47}"/>
            </c:ext>
          </c:extLst>
        </c:ser>
        <c:dLbls>
          <c:showLegendKey val="0"/>
          <c:showVal val="0"/>
          <c:showCatName val="0"/>
          <c:showSerName val="0"/>
          <c:showPercent val="0"/>
          <c:showBubbleSize val="0"/>
        </c:dLbls>
        <c:smooth val="0"/>
        <c:axId val="2092178048"/>
        <c:axId val="2090345392"/>
      </c:lineChart>
      <c:catAx>
        <c:axId val="2092178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90345392"/>
        <c:crosses val="autoZero"/>
        <c:auto val="1"/>
        <c:lblAlgn val="ctr"/>
        <c:lblOffset val="100"/>
        <c:noMultiLvlLbl val="0"/>
      </c:catAx>
      <c:valAx>
        <c:axId val="2090345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Rate</a:t>
                </a:r>
                <a:r>
                  <a:rPr lang="en-GB" sz="800" baseline="0"/>
                  <a:t> per 1,000 65+ popln</a:t>
                </a:r>
                <a:endParaRPr lang="en-GB" sz="800"/>
              </a:p>
            </c:rich>
          </c:tx>
          <c:layout>
            <c:manualLayout>
              <c:xMode val="edge"/>
              <c:yMode val="edge"/>
              <c:x val="1.2354341783226466E-2"/>
              <c:y val="0.18056644880174288"/>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B"/>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921780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Source: NHST BSU</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575384452782329"/>
          <c:y val="0.22364610673665791"/>
          <c:w val="0.84323428423906033"/>
          <c:h val="0.38861887953660967"/>
        </c:manualLayout>
      </c:layout>
      <c:lineChart>
        <c:grouping val="standard"/>
        <c:varyColors val="0"/>
        <c:ser>
          <c:idx val="0"/>
          <c:order val="0"/>
          <c:tx>
            <c:v>D</c:v>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'[workings Q4.xlsx]Falls'!$C$79:$M$79</c:f>
              <c:strCache>
                <c:ptCount val="10"/>
                <c:pt idx="0">
                  <c:v>2015/16</c:v>
                </c:pt>
                <c:pt idx="1">
                  <c:v>2016/17</c:v>
                </c:pt>
                <c:pt idx="2">
                  <c:v>2017/18</c:v>
                </c:pt>
                <c:pt idx="3">
                  <c:v>2018/19</c:v>
                </c:pt>
                <c:pt idx="4">
                  <c:v>2019/20</c:v>
                </c:pt>
                <c:pt idx="5">
                  <c:v>2020/21</c:v>
                </c:pt>
                <c:pt idx="6">
                  <c:v>2021/22 </c:v>
                </c:pt>
                <c:pt idx="7">
                  <c:v>2022/23</c:v>
                </c:pt>
                <c:pt idx="8">
                  <c:v>2023/24 at Q3</c:v>
                </c:pt>
                <c:pt idx="9">
                  <c:v>2023/24 at Q4</c:v>
                </c:pt>
              </c:strCache>
              <c:extLst/>
            </c:strRef>
          </c:cat>
          <c:val>
            <c:numRef>
              <c:f>'[workings Q4.xlsx]Falls'!$C$80:$M$80</c:f>
              <c:numCache>
                <c:formatCode>#,##0.0</c:formatCode>
                <c:ptCount val="10"/>
                <c:pt idx="0">
                  <c:v>24.943924510789699</c:v>
                </c:pt>
                <c:pt idx="1">
                  <c:v>26.071552354912004</c:v>
                </c:pt>
                <c:pt idx="2">
                  <c:v>27.766010705895948</c:v>
                </c:pt>
                <c:pt idx="3">
                  <c:v>30.322853734559587</c:v>
                </c:pt>
                <c:pt idx="4">
                  <c:v>30.438296071112482</c:v>
                </c:pt>
                <c:pt idx="5">
                  <c:v>31.7</c:v>
                </c:pt>
                <c:pt idx="6">
                  <c:v>29.2</c:v>
                </c:pt>
                <c:pt idx="7">
                  <c:v>33.1</c:v>
                </c:pt>
                <c:pt idx="8">
                  <c:v>35</c:v>
                </c:pt>
                <c:pt idx="9">
                  <c:v>36</c:v>
                </c:pt>
              </c:numCache>
              <c:extLst/>
            </c:numRef>
          </c:val>
          <c:smooth val="0"/>
          <c:extLst>
            <c:ext xmlns:c16="http://schemas.microsoft.com/office/drawing/2014/chart" uri="{C3380CC4-5D6E-409C-BE32-E72D297353CC}">
              <c16:uniqueId val="{00000001-72DE-43C1-BA0A-E01617D2AA10}"/>
            </c:ext>
          </c:extLst>
        </c:ser>
        <c:ser>
          <c:idx val="1"/>
          <c:order val="1"/>
          <c:tx>
            <c:v>Highest at Q4 Lochee</c:v>
          </c:tx>
          <c:spPr>
            <a:ln w="28575" cap="rnd">
              <a:solidFill>
                <a:schemeClr val="accent2"/>
              </a:solidFill>
              <a:round/>
            </a:ln>
            <a:effectLst/>
          </c:spPr>
          <c:marker>
            <c:symbol val="none"/>
          </c:marker>
          <c:cat>
            <c:strRef>
              <c:f>'[workings Q4.xlsx]Falls'!$C$79:$M$79</c:f>
              <c:strCache>
                <c:ptCount val="10"/>
                <c:pt idx="0">
                  <c:v>2015/16</c:v>
                </c:pt>
                <c:pt idx="1">
                  <c:v>2016/17</c:v>
                </c:pt>
                <c:pt idx="2">
                  <c:v>2017/18</c:v>
                </c:pt>
                <c:pt idx="3">
                  <c:v>2018/19</c:v>
                </c:pt>
                <c:pt idx="4">
                  <c:v>2019/20</c:v>
                </c:pt>
                <c:pt idx="5">
                  <c:v>2020/21</c:v>
                </c:pt>
                <c:pt idx="6">
                  <c:v>2021/22 </c:v>
                </c:pt>
                <c:pt idx="7">
                  <c:v>2022/23</c:v>
                </c:pt>
                <c:pt idx="8">
                  <c:v>2023/24 at Q3</c:v>
                </c:pt>
                <c:pt idx="9">
                  <c:v>2023/24 at Q4</c:v>
                </c:pt>
              </c:strCache>
              <c:extLst/>
            </c:strRef>
          </c:cat>
          <c:val>
            <c:numRef>
              <c:f>'[workings Q4.xlsx]Falls'!$C$81:$M$81</c:f>
              <c:numCache>
                <c:formatCode>#,##0.0</c:formatCode>
                <c:ptCount val="10"/>
                <c:pt idx="0">
                  <c:v>26.6</c:v>
                </c:pt>
                <c:pt idx="1">
                  <c:v>29.2</c:v>
                </c:pt>
                <c:pt idx="2">
                  <c:v>27.5</c:v>
                </c:pt>
                <c:pt idx="3">
                  <c:v>25.3</c:v>
                </c:pt>
                <c:pt idx="4">
                  <c:v>31.1</c:v>
                </c:pt>
                <c:pt idx="5">
                  <c:v>35.700000000000003</c:v>
                </c:pt>
                <c:pt idx="6">
                  <c:v>30.5</c:v>
                </c:pt>
                <c:pt idx="7">
                  <c:v>36.799999999999997</c:v>
                </c:pt>
                <c:pt idx="8">
                  <c:v>46</c:v>
                </c:pt>
                <c:pt idx="9">
                  <c:v>49</c:v>
                </c:pt>
              </c:numCache>
              <c:extLst/>
            </c:numRef>
          </c:val>
          <c:smooth val="0"/>
          <c:extLst>
            <c:ext xmlns:c16="http://schemas.microsoft.com/office/drawing/2014/chart" uri="{C3380CC4-5D6E-409C-BE32-E72D297353CC}">
              <c16:uniqueId val="{00000002-72DE-43C1-BA0A-E01617D2AA10}"/>
            </c:ext>
          </c:extLst>
        </c:ser>
        <c:ser>
          <c:idx val="2"/>
          <c:order val="2"/>
          <c:tx>
            <c:v>Lowest at Q4 NE</c:v>
          </c:tx>
          <c:spPr>
            <a:ln w="28575" cap="rnd">
              <a:solidFill>
                <a:schemeClr val="accent3"/>
              </a:solidFill>
              <a:round/>
            </a:ln>
            <a:effectLst/>
          </c:spPr>
          <c:marker>
            <c:symbol val="none"/>
          </c:marker>
          <c:cat>
            <c:strRef>
              <c:f>'[workings Q4.xlsx]Falls'!$C$79:$M$79</c:f>
              <c:strCache>
                <c:ptCount val="10"/>
                <c:pt idx="0">
                  <c:v>2015/16</c:v>
                </c:pt>
                <c:pt idx="1">
                  <c:v>2016/17</c:v>
                </c:pt>
                <c:pt idx="2">
                  <c:v>2017/18</c:v>
                </c:pt>
                <c:pt idx="3">
                  <c:v>2018/19</c:v>
                </c:pt>
                <c:pt idx="4">
                  <c:v>2019/20</c:v>
                </c:pt>
                <c:pt idx="5">
                  <c:v>2020/21</c:v>
                </c:pt>
                <c:pt idx="6">
                  <c:v>2021/22 </c:v>
                </c:pt>
                <c:pt idx="7">
                  <c:v>2022/23</c:v>
                </c:pt>
                <c:pt idx="8">
                  <c:v>2023/24 at Q3</c:v>
                </c:pt>
                <c:pt idx="9">
                  <c:v>2023/24 at Q4</c:v>
                </c:pt>
              </c:strCache>
              <c:extLst/>
            </c:strRef>
          </c:cat>
          <c:val>
            <c:numRef>
              <c:f>'[workings Q4.xlsx]Falls'!$C$82:$M$82</c:f>
              <c:numCache>
                <c:formatCode>0.0</c:formatCode>
                <c:ptCount val="10"/>
                <c:pt idx="0">
                  <c:v>20.5</c:v>
                </c:pt>
                <c:pt idx="1">
                  <c:v>25.1</c:v>
                </c:pt>
                <c:pt idx="2">
                  <c:v>22.7</c:v>
                </c:pt>
                <c:pt idx="3">
                  <c:v>18.8</c:v>
                </c:pt>
                <c:pt idx="4">
                  <c:v>25.1</c:v>
                </c:pt>
                <c:pt idx="5">
                  <c:v>21.5</c:v>
                </c:pt>
                <c:pt idx="6">
                  <c:v>17.899999999999999</c:v>
                </c:pt>
                <c:pt idx="7">
                  <c:v>26.9</c:v>
                </c:pt>
                <c:pt idx="8">
                  <c:v>27</c:v>
                </c:pt>
                <c:pt idx="9">
                  <c:v>31</c:v>
                </c:pt>
              </c:numCache>
              <c:extLst/>
            </c:numRef>
          </c:val>
          <c:smooth val="0"/>
          <c:extLst>
            <c:ext xmlns:c16="http://schemas.microsoft.com/office/drawing/2014/chart" uri="{C3380CC4-5D6E-409C-BE32-E72D297353CC}">
              <c16:uniqueId val="{00000003-72DE-43C1-BA0A-E01617D2AA10}"/>
            </c:ext>
          </c:extLst>
        </c:ser>
        <c:dLbls>
          <c:showLegendKey val="0"/>
          <c:showVal val="0"/>
          <c:showCatName val="0"/>
          <c:showSerName val="0"/>
          <c:showPercent val="0"/>
          <c:showBubbleSize val="0"/>
        </c:dLbls>
        <c:smooth val="0"/>
        <c:axId val="317819344"/>
        <c:axId val="433711504"/>
      </c:lineChart>
      <c:catAx>
        <c:axId val="31781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33711504"/>
        <c:crosses val="autoZero"/>
        <c:auto val="1"/>
        <c:lblAlgn val="ctr"/>
        <c:lblOffset val="100"/>
        <c:noMultiLvlLbl val="0"/>
      </c:catAx>
      <c:valAx>
        <c:axId val="433711504"/>
        <c:scaling>
          <c:orientation val="minMax"/>
          <c:min val="1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Rate per 1,000 </a:t>
                </a:r>
              </a:p>
            </c:rich>
          </c:tx>
          <c:layout>
            <c:manualLayout>
              <c:xMode val="edge"/>
              <c:yMode val="edge"/>
              <c:x val="8.948545861297539E-3"/>
              <c:y val="0.26197725284339463"/>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17819344"/>
        <c:crosses val="autoZero"/>
        <c:crossBetween val="between"/>
        <c:majorUnit val="10"/>
      </c:valAx>
      <c:spPr>
        <a:noFill/>
        <a:ln>
          <a:noFill/>
        </a:ln>
        <a:effectLst/>
      </c:spPr>
    </c:plotArea>
    <c:legend>
      <c:legendPos val="b"/>
      <c:layout>
        <c:manualLayout>
          <c:xMode val="edge"/>
          <c:yMode val="edge"/>
          <c:x val="0"/>
          <c:y val="0.85555796046821164"/>
          <c:w val="0.99552572706935127"/>
          <c:h val="0.1444420395317883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Source: PHS List</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176540863426554"/>
          <c:y val="0.2311027660004038"/>
          <c:w val="0.78303122454520768"/>
          <c:h val="0.70275307894205519"/>
        </c:manualLayout>
      </c:layout>
      <c:barChart>
        <c:barDir val="col"/>
        <c:grouping val="clustered"/>
        <c:varyColors val="0"/>
        <c:ser>
          <c:idx val="0"/>
          <c:order val="0"/>
          <c:spPr>
            <a:solidFill>
              <a:schemeClr val="accent1"/>
            </a:solidFill>
            <a:ln>
              <a:noFill/>
            </a:ln>
            <a:effectLst/>
          </c:spPr>
          <c:invertIfNegative val="0"/>
          <c:cat>
            <c:strRef>
              <c:f>'[Dundee DD Quarterly data export 7-2024.xlsx]5. Workings'!$B$26:$J$26</c:f>
              <c:strCache>
                <c:ptCount val="9"/>
                <c:pt idx="0">
                  <c:v>D</c:v>
                </c:pt>
                <c:pt idx="1">
                  <c:v>L</c:v>
                </c:pt>
                <c:pt idx="2">
                  <c:v>EE</c:v>
                </c:pt>
                <c:pt idx="3">
                  <c:v>C</c:v>
                </c:pt>
                <c:pt idx="4">
                  <c:v>NE</c:v>
                </c:pt>
                <c:pt idx="5">
                  <c:v>SM</c:v>
                </c:pt>
                <c:pt idx="6">
                  <c:v>MF</c:v>
                </c:pt>
                <c:pt idx="7">
                  <c:v>WE</c:v>
                </c:pt>
                <c:pt idx="8">
                  <c:v>TF</c:v>
                </c:pt>
              </c:strCache>
            </c:strRef>
          </c:cat>
          <c:val>
            <c:numRef>
              <c:f>'[Dundee DD Quarterly data export 7-2024.xlsx]5. Workings'!$B$27:$J$27</c:f>
              <c:numCache>
                <c:formatCode>0%</c:formatCode>
                <c:ptCount val="9"/>
                <c:pt idx="0">
                  <c:v>0.27422533830741774</c:v>
                </c:pt>
                <c:pt idx="1">
                  <c:v>-0.13015127803860196</c:v>
                </c:pt>
                <c:pt idx="2">
                  <c:v>-1.8129181808059534E-2</c:v>
                </c:pt>
                <c:pt idx="3">
                  <c:v>1.2554970996897341</c:v>
                </c:pt>
                <c:pt idx="4">
                  <c:v>-0.44055678822703909</c:v>
                </c:pt>
                <c:pt idx="5">
                  <c:v>-9.3851132686084179E-2</c:v>
                </c:pt>
                <c:pt idx="6">
                  <c:v>0.12752993907136362</c:v>
                </c:pt>
                <c:pt idx="7">
                  <c:v>0.45155256266367383</c:v>
                </c:pt>
                <c:pt idx="8">
                  <c:v>0.90294624351765196</c:v>
                </c:pt>
              </c:numCache>
            </c:numRef>
          </c:val>
          <c:extLst>
            <c:ext xmlns:c16="http://schemas.microsoft.com/office/drawing/2014/chart" uri="{C3380CC4-5D6E-409C-BE32-E72D297353CC}">
              <c16:uniqueId val="{00000000-8970-40E3-BFC2-11EB556F3B23}"/>
            </c:ext>
          </c:extLst>
        </c:ser>
        <c:dLbls>
          <c:showLegendKey val="0"/>
          <c:showVal val="0"/>
          <c:showCatName val="0"/>
          <c:showSerName val="0"/>
          <c:showPercent val="0"/>
          <c:showBubbleSize val="0"/>
        </c:dLbls>
        <c:gapWidth val="219"/>
        <c:overlap val="-27"/>
        <c:axId val="1372243791"/>
        <c:axId val="1596259743"/>
      </c:barChart>
      <c:catAx>
        <c:axId val="1372243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6259743"/>
        <c:crosses val="autoZero"/>
        <c:auto val="1"/>
        <c:lblAlgn val="ctr"/>
        <c:lblOffset val="100"/>
        <c:noMultiLvlLbl val="0"/>
      </c:catAx>
      <c:valAx>
        <c:axId val="1596259743"/>
        <c:scaling>
          <c:orientation val="minMax"/>
          <c:max val="1.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7224379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Source:</a:t>
            </a:r>
            <a:r>
              <a:rPr lang="en-GB" sz="1200" baseline="0"/>
              <a:t> PHS List</a:t>
            </a:r>
            <a:endParaRPr lang="en-GB"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'[Dundee DD Quarterly data export 7-2024.xlsx]5. Workings'!$A$32:$A$35</c:f>
              <c:strCache>
                <c:ptCount val="4"/>
                <c:pt idx="0">
                  <c:v>Q1</c:v>
                </c:pt>
                <c:pt idx="1">
                  <c:v>Q2</c:v>
                </c:pt>
                <c:pt idx="2">
                  <c:v>Q3</c:v>
                </c:pt>
                <c:pt idx="3">
                  <c:v>Q4</c:v>
                </c:pt>
              </c:strCache>
            </c:strRef>
          </c:cat>
          <c:val>
            <c:numRef>
              <c:f>'[Dundee DD Quarterly data export 7-2024.xlsx]5. Workings'!$B$32:$B$35</c:f>
              <c:numCache>
                <c:formatCode>General</c:formatCode>
                <c:ptCount val="4"/>
                <c:pt idx="0">
                  <c:v>650</c:v>
                </c:pt>
                <c:pt idx="1">
                  <c:v>689</c:v>
                </c:pt>
                <c:pt idx="2">
                  <c:v>435</c:v>
                </c:pt>
                <c:pt idx="3">
                  <c:v>353</c:v>
                </c:pt>
              </c:numCache>
            </c:numRef>
          </c:val>
          <c:smooth val="0"/>
          <c:extLst>
            <c:ext xmlns:c16="http://schemas.microsoft.com/office/drawing/2014/chart" uri="{C3380CC4-5D6E-409C-BE32-E72D297353CC}">
              <c16:uniqueId val="{00000000-0759-484B-891C-A2B2BD5E214C}"/>
            </c:ext>
          </c:extLst>
        </c:ser>
        <c:dLbls>
          <c:showLegendKey val="0"/>
          <c:showVal val="0"/>
          <c:showCatName val="0"/>
          <c:showSerName val="0"/>
          <c:showPercent val="0"/>
          <c:showBubbleSize val="0"/>
        </c:dLbls>
        <c:smooth val="0"/>
        <c:axId val="1606845103"/>
        <c:axId val="1668202463"/>
      </c:lineChart>
      <c:catAx>
        <c:axId val="1606845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68202463"/>
        <c:crosses val="autoZero"/>
        <c:auto val="1"/>
        <c:lblAlgn val="ctr"/>
        <c:lblOffset val="100"/>
        <c:noMultiLvlLbl val="0"/>
      </c:catAx>
      <c:valAx>
        <c:axId val="1668202463"/>
        <c:scaling>
          <c:orientation val="minMax"/>
          <c:max val="75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6845103"/>
        <c:crosses val="autoZero"/>
        <c:crossBetween val="between"/>
        <c:majorUnit val="25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Source:</a:t>
            </a:r>
            <a:r>
              <a:rPr lang="en-GB" sz="1200" baseline="0"/>
              <a:t> PHS List</a:t>
            </a:r>
            <a:endParaRPr lang="en-GB"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2478631550366549"/>
          <c:y val="0.18581622903831582"/>
          <c:w val="0.80605882885328994"/>
          <c:h val="0.51265311501334299"/>
        </c:manualLayout>
      </c:layout>
      <c:lineChart>
        <c:grouping val="standard"/>
        <c:varyColors val="0"/>
        <c:ser>
          <c:idx val="0"/>
          <c:order val="0"/>
          <c:tx>
            <c:v>Dundee</c:v>
          </c:tx>
          <c:spPr>
            <a:ln w="28575" cap="rnd">
              <a:solidFill>
                <a:schemeClr val="accent1"/>
              </a:solidFill>
              <a:round/>
            </a:ln>
            <a:effectLst/>
          </c:spPr>
          <c:marker>
            <c:symbol val="none"/>
          </c:marker>
          <c:cat>
            <c:strRef>
              <c:f>'[Dundee DD Quarterly data export 7-2024.xlsx]5. Workings'!$A$39:$A$45</c:f>
              <c:strCache>
                <c:ptCount val="7"/>
                <c:pt idx="0">
                  <c:v>18/19</c:v>
                </c:pt>
                <c:pt idx="1">
                  <c:v>19/20</c:v>
                </c:pt>
                <c:pt idx="2">
                  <c:v>20/21</c:v>
                </c:pt>
                <c:pt idx="3">
                  <c:v>21/22</c:v>
                </c:pt>
                <c:pt idx="4">
                  <c:v>22/23 </c:v>
                </c:pt>
                <c:pt idx="5">
                  <c:v>23/24 at Q3</c:v>
                </c:pt>
                <c:pt idx="6">
                  <c:v>23/24 at Q4</c:v>
                </c:pt>
              </c:strCache>
            </c:strRef>
          </c:cat>
          <c:val>
            <c:numRef>
              <c:f>'[Dundee DD Quarterly data export 7-2024.xlsx]5. Workings'!$B$39:$B$45</c:f>
              <c:numCache>
                <c:formatCode>General</c:formatCode>
                <c:ptCount val="7"/>
                <c:pt idx="0">
                  <c:v>279</c:v>
                </c:pt>
                <c:pt idx="1">
                  <c:v>380</c:v>
                </c:pt>
                <c:pt idx="2">
                  <c:v>185</c:v>
                </c:pt>
                <c:pt idx="3">
                  <c:v>576</c:v>
                </c:pt>
                <c:pt idx="4">
                  <c:v>656</c:v>
                </c:pt>
                <c:pt idx="5">
                  <c:v>435</c:v>
                </c:pt>
                <c:pt idx="6">
                  <c:v>353</c:v>
                </c:pt>
              </c:numCache>
            </c:numRef>
          </c:val>
          <c:smooth val="0"/>
          <c:extLst>
            <c:ext xmlns:c16="http://schemas.microsoft.com/office/drawing/2014/chart" uri="{C3380CC4-5D6E-409C-BE32-E72D297353CC}">
              <c16:uniqueId val="{00000000-3C31-4975-AE4A-C73AC27C18B2}"/>
            </c:ext>
          </c:extLst>
        </c:ser>
        <c:ser>
          <c:idx val="1"/>
          <c:order val="1"/>
          <c:tx>
            <c:v>Lowest at Q4 NE</c:v>
          </c:tx>
          <c:spPr>
            <a:ln w="28575" cap="rnd">
              <a:solidFill>
                <a:schemeClr val="accent2"/>
              </a:solidFill>
              <a:round/>
            </a:ln>
            <a:effectLst/>
          </c:spPr>
          <c:marker>
            <c:symbol val="none"/>
          </c:marker>
          <c:cat>
            <c:strRef>
              <c:f>'[Dundee DD Quarterly data export 7-2024.xlsx]5. Workings'!$A$39:$A$45</c:f>
              <c:strCache>
                <c:ptCount val="7"/>
                <c:pt idx="0">
                  <c:v>18/19</c:v>
                </c:pt>
                <c:pt idx="1">
                  <c:v>19/20</c:v>
                </c:pt>
                <c:pt idx="2">
                  <c:v>20/21</c:v>
                </c:pt>
                <c:pt idx="3">
                  <c:v>21/22</c:v>
                </c:pt>
                <c:pt idx="4">
                  <c:v>22/23 </c:v>
                </c:pt>
                <c:pt idx="5">
                  <c:v>23/24 at Q3</c:v>
                </c:pt>
                <c:pt idx="6">
                  <c:v>23/24 at Q4</c:v>
                </c:pt>
              </c:strCache>
            </c:strRef>
          </c:cat>
          <c:val>
            <c:numRef>
              <c:f>'[Dundee DD Quarterly data export 7-2024.xlsx]5. Workings'!$C$39:$C$45</c:f>
              <c:numCache>
                <c:formatCode>0</c:formatCode>
                <c:ptCount val="7"/>
                <c:pt idx="0">
                  <c:v>246.11708482676227</c:v>
                </c:pt>
                <c:pt idx="1">
                  <c:v>133.81123058542414</c:v>
                </c:pt>
                <c:pt idx="2">
                  <c:v>230.58542413381122</c:v>
                </c:pt>
                <c:pt idx="3">
                  <c:v>382.31780167264043</c:v>
                </c:pt>
                <c:pt idx="4">
                  <c:v>691.75627240143365</c:v>
                </c:pt>
                <c:pt idx="5" formatCode="General">
                  <c:v>207</c:v>
                </c:pt>
                <c:pt idx="6">
                  <c:v>141</c:v>
                </c:pt>
              </c:numCache>
            </c:numRef>
          </c:val>
          <c:smooth val="0"/>
          <c:extLst>
            <c:ext xmlns:c16="http://schemas.microsoft.com/office/drawing/2014/chart" uri="{C3380CC4-5D6E-409C-BE32-E72D297353CC}">
              <c16:uniqueId val="{00000001-3C31-4975-AE4A-C73AC27C18B2}"/>
            </c:ext>
          </c:extLst>
        </c:ser>
        <c:ser>
          <c:idx val="2"/>
          <c:order val="2"/>
          <c:tx>
            <c:v>Highest at Q4 WE</c:v>
          </c:tx>
          <c:spPr>
            <a:ln w="28575" cap="rnd">
              <a:solidFill>
                <a:schemeClr val="accent3"/>
              </a:solidFill>
              <a:round/>
            </a:ln>
            <a:effectLst/>
          </c:spPr>
          <c:marker>
            <c:symbol val="none"/>
          </c:marker>
          <c:cat>
            <c:strRef>
              <c:f>'[Dundee DD Quarterly data export 7-2024.xlsx]5. Workings'!$A$39:$A$45</c:f>
              <c:strCache>
                <c:ptCount val="7"/>
                <c:pt idx="0">
                  <c:v>18/19</c:v>
                </c:pt>
                <c:pt idx="1">
                  <c:v>19/20</c:v>
                </c:pt>
                <c:pt idx="2">
                  <c:v>20/21</c:v>
                </c:pt>
                <c:pt idx="3">
                  <c:v>21/22</c:v>
                </c:pt>
                <c:pt idx="4">
                  <c:v>22/23 </c:v>
                </c:pt>
                <c:pt idx="5">
                  <c:v>23/24 at Q3</c:v>
                </c:pt>
                <c:pt idx="6">
                  <c:v>23/24 at Q4</c:v>
                </c:pt>
              </c:strCache>
            </c:strRef>
          </c:cat>
          <c:val>
            <c:numRef>
              <c:f>'[Dundee DD Quarterly data export 7-2024.xlsx]5. Workings'!$D$39:$D$45</c:f>
              <c:numCache>
                <c:formatCode>0</c:formatCode>
                <c:ptCount val="7"/>
                <c:pt idx="0">
                  <c:v>322</c:v>
                </c:pt>
                <c:pt idx="1">
                  <c:v>635</c:v>
                </c:pt>
                <c:pt idx="2">
                  <c:v>185</c:v>
                </c:pt>
                <c:pt idx="3">
                  <c:v>609</c:v>
                </c:pt>
                <c:pt idx="4">
                  <c:v>523</c:v>
                </c:pt>
                <c:pt idx="5">
                  <c:v>488</c:v>
                </c:pt>
                <c:pt idx="6" formatCode="General">
                  <c:v>479</c:v>
                </c:pt>
              </c:numCache>
            </c:numRef>
          </c:val>
          <c:smooth val="0"/>
          <c:extLst>
            <c:ext xmlns:c16="http://schemas.microsoft.com/office/drawing/2014/chart" uri="{C3380CC4-5D6E-409C-BE32-E72D297353CC}">
              <c16:uniqueId val="{00000002-3C31-4975-AE4A-C73AC27C18B2}"/>
            </c:ext>
          </c:extLst>
        </c:ser>
        <c:dLbls>
          <c:showLegendKey val="0"/>
          <c:showVal val="0"/>
          <c:showCatName val="0"/>
          <c:showSerName val="0"/>
          <c:showPercent val="0"/>
          <c:showBubbleSize val="0"/>
        </c:dLbls>
        <c:smooth val="0"/>
        <c:axId val="1750400335"/>
        <c:axId val="1666466079"/>
      </c:lineChart>
      <c:catAx>
        <c:axId val="1750400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50" b="0" i="0" u="none" strike="noStrike" kern="1200" baseline="0">
                <a:solidFill>
                  <a:schemeClr val="tx1">
                    <a:lumMod val="65000"/>
                    <a:lumOff val="35000"/>
                  </a:schemeClr>
                </a:solidFill>
                <a:latin typeface="+mn-lt"/>
                <a:ea typeface="+mn-ea"/>
                <a:cs typeface="+mn-cs"/>
              </a:defRPr>
            </a:pPr>
            <a:endParaRPr lang="en-US"/>
          </a:p>
        </c:txPr>
        <c:crossAx val="1666466079"/>
        <c:crosses val="autoZero"/>
        <c:auto val="1"/>
        <c:lblAlgn val="ctr"/>
        <c:lblOffset val="100"/>
        <c:noMultiLvlLbl val="0"/>
      </c:catAx>
      <c:valAx>
        <c:axId val="16664660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750400335"/>
        <c:crosses val="autoZero"/>
        <c:crossBetween val="between"/>
      </c:valAx>
      <c:spPr>
        <a:noFill/>
        <a:ln>
          <a:noFill/>
        </a:ln>
        <a:effectLst/>
      </c:spPr>
    </c:plotArea>
    <c:legend>
      <c:legendPos val="b"/>
      <c:layout>
        <c:manualLayout>
          <c:xMode val="edge"/>
          <c:yMode val="edge"/>
          <c:x val="8.1364829396325458E-3"/>
          <c:y val="0.89259710736994691"/>
          <c:w val="0.97912933297130977"/>
          <c:h val="0.1074028926300530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Source: PHS List</a:t>
            </a:r>
          </a:p>
        </c:rich>
      </c:tx>
      <c:layout>
        <c:manualLayout>
          <c:xMode val="edge"/>
          <c:yMode val="edge"/>
          <c:x val="0.28003823221519281"/>
          <c:y val="2.453987066049733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1857892763404572"/>
          <c:y val="0.19547113862675561"/>
          <c:w val="0.59941525491131786"/>
          <c:h val="0.67151706036745407"/>
        </c:manualLayout>
      </c:layout>
      <c:barChart>
        <c:barDir val="col"/>
        <c:grouping val="clustered"/>
        <c:varyColors val="0"/>
        <c:ser>
          <c:idx val="0"/>
          <c:order val="0"/>
          <c:spPr>
            <a:solidFill>
              <a:schemeClr val="accent1"/>
            </a:solidFill>
            <a:ln>
              <a:noFill/>
            </a:ln>
            <a:effectLst/>
          </c:spPr>
          <c:invertIfNegative val="0"/>
          <c:cat>
            <c:strRef>
              <c:f>'5. Workings'!$B$60:$J$60</c:f>
              <c:strCache>
                <c:ptCount val="9"/>
                <c:pt idx="0">
                  <c:v>D</c:v>
                </c:pt>
                <c:pt idx="1">
                  <c:v>L</c:v>
                </c:pt>
                <c:pt idx="2">
                  <c:v>EE</c:v>
                </c:pt>
                <c:pt idx="3">
                  <c:v>C</c:v>
                </c:pt>
                <c:pt idx="4">
                  <c:v>NE</c:v>
                </c:pt>
                <c:pt idx="5">
                  <c:v>SM</c:v>
                </c:pt>
                <c:pt idx="6">
                  <c:v>MF</c:v>
                </c:pt>
                <c:pt idx="7">
                  <c:v>WE</c:v>
                </c:pt>
                <c:pt idx="8">
                  <c:v>TF</c:v>
                </c:pt>
              </c:strCache>
            </c:strRef>
          </c:cat>
          <c:val>
            <c:numRef>
              <c:f>'5. Workings'!$B$61:$J$61</c:f>
              <c:numCache>
                <c:formatCode>0%</c:formatCode>
                <c:ptCount val="9"/>
                <c:pt idx="0">
                  <c:v>-0.25420631195687726</c:v>
                </c:pt>
                <c:pt idx="1">
                  <c:v>-0.35648372996600286</c:v>
                </c:pt>
                <c:pt idx="2">
                  <c:v>2.1268625922699558</c:v>
                </c:pt>
                <c:pt idx="3">
                  <c:v>-0.79878742950941195</c:v>
                </c:pt>
                <c:pt idx="4">
                  <c:v>-1</c:v>
                </c:pt>
                <c:pt idx="5">
                  <c:v>-7.9467817331895035E-2</c:v>
                </c:pt>
                <c:pt idx="6">
                  <c:v>-0.8061765085928414</c:v>
                </c:pt>
                <c:pt idx="7">
                  <c:v>1.0301783264746229</c:v>
                </c:pt>
                <c:pt idx="8">
                  <c:v>-0.41948812511738298</c:v>
                </c:pt>
              </c:numCache>
            </c:numRef>
          </c:val>
          <c:extLst>
            <c:ext xmlns:c16="http://schemas.microsoft.com/office/drawing/2014/chart" uri="{C3380CC4-5D6E-409C-BE32-E72D297353CC}">
              <c16:uniqueId val="{00000000-EF40-4535-8DD5-736F4FD61098}"/>
            </c:ext>
          </c:extLst>
        </c:ser>
        <c:dLbls>
          <c:showLegendKey val="0"/>
          <c:showVal val="0"/>
          <c:showCatName val="0"/>
          <c:showSerName val="0"/>
          <c:showPercent val="0"/>
          <c:showBubbleSize val="0"/>
        </c:dLbls>
        <c:gapWidth val="219"/>
        <c:overlap val="-27"/>
        <c:axId val="1564027263"/>
        <c:axId val="1739427599"/>
      </c:barChart>
      <c:catAx>
        <c:axId val="15640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739427599"/>
        <c:crosses val="autoZero"/>
        <c:auto val="1"/>
        <c:lblAlgn val="ctr"/>
        <c:lblOffset val="100"/>
        <c:noMultiLvlLbl val="0"/>
      </c:catAx>
      <c:valAx>
        <c:axId val="1739427599"/>
        <c:scaling>
          <c:orientation val="minMax"/>
          <c:max val="3"/>
          <c:min val="-1.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64027263"/>
        <c:crosses val="autoZero"/>
        <c:crossBetween val="between"/>
        <c:majorUnit val="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Source : MSG National Data</a:t>
            </a:r>
          </a:p>
        </c:rich>
      </c:tx>
      <c:layout>
        <c:manualLayout>
          <c:xMode val="edge"/>
          <c:yMode val="edge"/>
          <c:x val="0.24007170573418957"/>
          <c:y val="4.7449584816132859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418107967051669"/>
          <c:y val="0.31870304468169236"/>
          <c:w val="0.59478862692595702"/>
          <c:h val="0.49783892671779018"/>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Adm!$B$20:$B$23</c:f>
              <c:strCache>
                <c:ptCount val="4"/>
                <c:pt idx="0">
                  <c:v>Q1</c:v>
                </c:pt>
                <c:pt idx="1">
                  <c:v>Q2</c:v>
                </c:pt>
                <c:pt idx="2">
                  <c:v>Q3</c:v>
                </c:pt>
                <c:pt idx="3">
                  <c:v>Q4</c:v>
                </c:pt>
              </c:strCache>
            </c:strRef>
          </c:cat>
          <c:val>
            <c:numRef>
              <c:f>Adm!$C$20:$C$23</c:f>
              <c:numCache>
                <c:formatCode>#,##0</c:formatCode>
                <c:ptCount val="4"/>
                <c:pt idx="0">
                  <c:v>13042</c:v>
                </c:pt>
                <c:pt idx="1">
                  <c:v>13304</c:v>
                </c:pt>
                <c:pt idx="2" formatCode="General">
                  <c:v>13867</c:v>
                </c:pt>
                <c:pt idx="3">
                  <c:v>14131</c:v>
                </c:pt>
              </c:numCache>
            </c:numRef>
          </c:val>
          <c:smooth val="0"/>
          <c:extLst>
            <c:ext xmlns:c16="http://schemas.microsoft.com/office/drawing/2014/chart" uri="{C3380CC4-5D6E-409C-BE32-E72D297353CC}">
              <c16:uniqueId val="{00000000-512E-4E02-9035-777AB3A20DF1}"/>
            </c:ext>
          </c:extLst>
        </c:ser>
        <c:dLbls>
          <c:dLblPos val="t"/>
          <c:showLegendKey val="0"/>
          <c:showVal val="1"/>
          <c:showCatName val="0"/>
          <c:showSerName val="0"/>
          <c:showPercent val="0"/>
          <c:showBubbleSize val="0"/>
        </c:dLbls>
        <c:smooth val="0"/>
        <c:axId val="199164424"/>
        <c:axId val="199224328"/>
      </c:lineChart>
      <c:catAx>
        <c:axId val="199164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224328"/>
        <c:crosses val="autoZero"/>
        <c:auto val="1"/>
        <c:lblAlgn val="ctr"/>
        <c:lblOffset val="100"/>
        <c:noMultiLvlLbl val="0"/>
      </c:catAx>
      <c:valAx>
        <c:axId val="199224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Admissions from A+E rate per 1,000 admissions</a:t>
                </a:r>
              </a:p>
            </c:rich>
          </c:tx>
          <c:layout>
            <c:manualLayout>
              <c:xMode val="edge"/>
              <c:yMode val="edge"/>
              <c:x val="2.3054755043227664E-2"/>
              <c:y val="8.0506128904705432E-2"/>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99164424"/>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Source:</a:t>
            </a:r>
            <a:r>
              <a:rPr lang="en-GB" sz="1200" baseline="0"/>
              <a:t> PHS List</a:t>
            </a:r>
            <a:endParaRPr lang="en-GB" sz="1200"/>
          </a:p>
        </c:rich>
      </c:tx>
      <c:layout>
        <c:manualLayout>
          <c:xMode val="edge"/>
          <c:yMode val="edge"/>
          <c:x val="0.30479897808546647"/>
          <c:y val="4.8678548208996808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7309433905170307"/>
          <c:y val="0.23770239729208156"/>
          <c:w val="0.76651587231255713"/>
          <c:h val="0.60329133170280325"/>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'[Dundee DD Quarterly data export 7-2024.xlsx]5. Workings'!$A$66:$A$69</c:f>
              <c:strCache>
                <c:ptCount val="4"/>
                <c:pt idx="0">
                  <c:v>Q1</c:v>
                </c:pt>
                <c:pt idx="1">
                  <c:v>Q2</c:v>
                </c:pt>
                <c:pt idx="2">
                  <c:v>Q3</c:v>
                </c:pt>
                <c:pt idx="3">
                  <c:v>Q4</c:v>
                </c:pt>
              </c:strCache>
            </c:strRef>
          </c:cat>
          <c:val>
            <c:numRef>
              <c:f>'[Dundee DD Quarterly data export 7-2024.xlsx]5. Workings'!$B$66:$B$69</c:f>
              <c:numCache>
                <c:formatCode>General</c:formatCode>
                <c:ptCount val="4"/>
                <c:pt idx="0">
                  <c:v>114</c:v>
                </c:pt>
                <c:pt idx="1">
                  <c:v>114</c:v>
                </c:pt>
                <c:pt idx="2">
                  <c:v>89</c:v>
                </c:pt>
                <c:pt idx="3">
                  <c:v>69</c:v>
                </c:pt>
              </c:numCache>
            </c:numRef>
          </c:val>
          <c:smooth val="0"/>
          <c:extLst>
            <c:ext xmlns:c16="http://schemas.microsoft.com/office/drawing/2014/chart" uri="{C3380CC4-5D6E-409C-BE32-E72D297353CC}">
              <c16:uniqueId val="{00000004-FC98-454A-8A74-11F2464C9856}"/>
            </c:ext>
          </c:extLst>
        </c:ser>
        <c:dLbls>
          <c:showLegendKey val="0"/>
          <c:showVal val="0"/>
          <c:showCatName val="0"/>
          <c:showSerName val="0"/>
          <c:showPercent val="0"/>
          <c:showBubbleSize val="0"/>
        </c:dLbls>
        <c:smooth val="0"/>
        <c:axId val="1655530015"/>
        <c:axId val="1753672847"/>
      </c:lineChart>
      <c:catAx>
        <c:axId val="1655530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3672847"/>
        <c:crosses val="autoZero"/>
        <c:auto val="1"/>
        <c:lblAlgn val="ctr"/>
        <c:lblOffset val="100"/>
        <c:noMultiLvlLbl val="0"/>
      </c:catAx>
      <c:valAx>
        <c:axId val="17536728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553001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Source: PHS List</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575764034598848"/>
          <c:y val="0.18543747120367349"/>
          <c:w val="0.84874202683839139"/>
          <c:h val="0.44251502585845409"/>
        </c:manualLayout>
      </c:layout>
      <c:lineChart>
        <c:grouping val="standard"/>
        <c:varyColors val="0"/>
        <c:ser>
          <c:idx val="0"/>
          <c:order val="0"/>
          <c:tx>
            <c:v>Dundee</c:v>
          </c:tx>
          <c:spPr>
            <a:ln w="28575" cap="rnd">
              <a:solidFill>
                <a:schemeClr val="accent1"/>
              </a:solidFill>
              <a:round/>
            </a:ln>
            <a:effectLst/>
          </c:spPr>
          <c:marker>
            <c:symbol val="none"/>
          </c:marker>
          <c:cat>
            <c:strRef>
              <c:f>'[Dundee DD Quarterly data export 7-2024.xlsx]5. Workings'!$A$75:$A$81</c:f>
              <c:strCache>
                <c:ptCount val="7"/>
                <c:pt idx="0">
                  <c:v>2018/19</c:v>
                </c:pt>
                <c:pt idx="1">
                  <c:v>2019/20</c:v>
                </c:pt>
                <c:pt idx="2">
                  <c:v>2020/21</c:v>
                </c:pt>
                <c:pt idx="3">
                  <c:v>2021/22</c:v>
                </c:pt>
                <c:pt idx="4">
                  <c:v>2022/23 </c:v>
                </c:pt>
                <c:pt idx="5">
                  <c:v>2023/24 at Q3</c:v>
                </c:pt>
                <c:pt idx="6">
                  <c:v>2023/24 at Q4</c:v>
                </c:pt>
              </c:strCache>
            </c:strRef>
          </c:cat>
          <c:val>
            <c:numRef>
              <c:f>'[Dundee DD Quarterly data export 7-2024.xlsx]5. Workings'!$B$75:$B$81</c:f>
              <c:numCache>
                <c:formatCode>General</c:formatCode>
                <c:ptCount val="7"/>
                <c:pt idx="0">
                  <c:v>92</c:v>
                </c:pt>
                <c:pt idx="1">
                  <c:v>93</c:v>
                </c:pt>
                <c:pt idx="2">
                  <c:v>140</c:v>
                </c:pt>
                <c:pt idx="3">
                  <c:v>192</c:v>
                </c:pt>
                <c:pt idx="4">
                  <c:v>134</c:v>
                </c:pt>
                <c:pt idx="5">
                  <c:v>89</c:v>
                </c:pt>
                <c:pt idx="6">
                  <c:v>69</c:v>
                </c:pt>
              </c:numCache>
            </c:numRef>
          </c:val>
          <c:smooth val="0"/>
          <c:extLst>
            <c:ext xmlns:c16="http://schemas.microsoft.com/office/drawing/2014/chart" uri="{C3380CC4-5D6E-409C-BE32-E72D297353CC}">
              <c16:uniqueId val="{00000000-EC1B-4B44-AC44-8011D2C8CD61}"/>
            </c:ext>
          </c:extLst>
        </c:ser>
        <c:ser>
          <c:idx val="1"/>
          <c:order val="1"/>
          <c:tx>
            <c:v>Lowest at Q4 NE</c:v>
          </c:tx>
          <c:spPr>
            <a:ln w="28575" cap="rnd">
              <a:solidFill>
                <a:schemeClr val="accent2"/>
              </a:solidFill>
              <a:round/>
            </a:ln>
            <a:effectLst/>
          </c:spPr>
          <c:marker>
            <c:symbol val="none"/>
          </c:marker>
          <c:cat>
            <c:strRef>
              <c:f>'[Dundee DD Quarterly data export 7-2024.xlsx]5. Workings'!$A$75:$A$81</c:f>
              <c:strCache>
                <c:ptCount val="7"/>
                <c:pt idx="0">
                  <c:v>2018/19</c:v>
                </c:pt>
                <c:pt idx="1">
                  <c:v>2019/20</c:v>
                </c:pt>
                <c:pt idx="2">
                  <c:v>2020/21</c:v>
                </c:pt>
                <c:pt idx="3">
                  <c:v>2021/22</c:v>
                </c:pt>
                <c:pt idx="4">
                  <c:v>2022/23 </c:v>
                </c:pt>
                <c:pt idx="5">
                  <c:v>2023/24 at Q3</c:v>
                </c:pt>
                <c:pt idx="6">
                  <c:v>2023/24 at Q4</c:v>
                </c:pt>
              </c:strCache>
            </c:strRef>
          </c:cat>
          <c:val>
            <c:numRef>
              <c:f>'[Dundee DD Quarterly data export 7-2024.xlsx]5. Workings'!$C$75:$C$81</c:f>
              <c:numCache>
                <c:formatCode>0</c:formatCode>
                <c:ptCount val="7"/>
                <c:pt idx="0">
                  <c:v>84.826762246117084</c:v>
                </c:pt>
                <c:pt idx="1">
                  <c:v>78.853046594982075</c:v>
                </c:pt>
                <c:pt idx="2">
                  <c:v>199.52210274790917</c:v>
                </c:pt>
                <c:pt idx="3">
                  <c:v>59.737156511350058</c:v>
                </c:pt>
                <c:pt idx="4">
                  <c:v>127.83751493428913</c:v>
                </c:pt>
                <c:pt idx="5" formatCode="General">
                  <c:v>43</c:v>
                </c:pt>
                <c:pt idx="6">
                  <c:v>0</c:v>
                </c:pt>
              </c:numCache>
            </c:numRef>
          </c:val>
          <c:smooth val="0"/>
          <c:extLst>
            <c:ext xmlns:c16="http://schemas.microsoft.com/office/drawing/2014/chart" uri="{C3380CC4-5D6E-409C-BE32-E72D297353CC}">
              <c16:uniqueId val="{00000001-EC1B-4B44-AC44-8011D2C8CD61}"/>
            </c:ext>
          </c:extLst>
        </c:ser>
        <c:ser>
          <c:idx val="2"/>
          <c:order val="2"/>
          <c:tx>
            <c:v>Highest at Q4 EE</c:v>
          </c:tx>
          <c:spPr>
            <a:ln w="28575" cap="rnd">
              <a:solidFill>
                <a:schemeClr val="accent3"/>
              </a:solidFill>
              <a:round/>
            </a:ln>
            <a:effectLst/>
          </c:spPr>
          <c:marker>
            <c:symbol val="none"/>
          </c:marker>
          <c:cat>
            <c:strRef>
              <c:f>'[Dundee DD Quarterly data export 7-2024.xlsx]5. Workings'!$A$75:$A$81</c:f>
              <c:strCache>
                <c:ptCount val="7"/>
                <c:pt idx="0">
                  <c:v>2018/19</c:v>
                </c:pt>
                <c:pt idx="1">
                  <c:v>2019/20</c:v>
                </c:pt>
                <c:pt idx="2">
                  <c:v>2020/21</c:v>
                </c:pt>
                <c:pt idx="3">
                  <c:v>2021/22</c:v>
                </c:pt>
                <c:pt idx="4">
                  <c:v>2022/23 </c:v>
                </c:pt>
                <c:pt idx="5">
                  <c:v>2023/24 at Q3</c:v>
                </c:pt>
                <c:pt idx="6">
                  <c:v>2023/24 at Q4</c:v>
                </c:pt>
              </c:strCache>
            </c:strRef>
          </c:cat>
          <c:val>
            <c:numRef>
              <c:f>'[Dundee DD Quarterly data export 7-2024.xlsx]5. Workings'!$D$75:$D$81</c:f>
              <c:numCache>
                <c:formatCode>General</c:formatCode>
                <c:ptCount val="7"/>
                <c:pt idx="0">
                  <c:v>0</c:v>
                </c:pt>
                <c:pt idx="1">
                  <c:v>142</c:v>
                </c:pt>
                <c:pt idx="2">
                  <c:v>226</c:v>
                </c:pt>
                <c:pt idx="3">
                  <c:v>185</c:v>
                </c:pt>
                <c:pt idx="4">
                  <c:v>490</c:v>
                </c:pt>
                <c:pt idx="5">
                  <c:v>352</c:v>
                </c:pt>
                <c:pt idx="6">
                  <c:v>266</c:v>
                </c:pt>
              </c:numCache>
            </c:numRef>
          </c:val>
          <c:smooth val="0"/>
          <c:extLst>
            <c:ext xmlns:c16="http://schemas.microsoft.com/office/drawing/2014/chart" uri="{C3380CC4-5D6E-409C-BE32-E72D297353CC}">
              <c16:uniqueId val="{00000002-EC1B-4B44-AC44-8011D2C8CD61}"/>
            </c:ext>
          </c:extLst>
        </c:ser>
        <c:dLbls>
          <c:showLegendKey val="0"/>
          <c:showVal val="0"/>
          <c:showCatName val="0"/>
          <c:showSerName val="0"/>
          <c:showPercent val="0"/>
          <c:showBubbleSize val="0"/>
        </c:dLbls>
        <c:smooth val="0"/>
        <c:axId val="1758859503"/>
        <c:axId val="1594706383"/>
      </c:lineChart>
      <c:catAx>
        <c:axId val="1758859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94706383"/>
        <c:crosses val="autoZero"/>
        <c:auto val="1"/>
        <c:lblAlgn val="ctr"/>
        <c:lblOffset val="100"/>
        <c:noMultiLvlLbl val="0"/>
      </c:catAx>
      <c:valAx>
        <c:axId val="1594706383"/>
        <c:scaling>
          <c:orientation val="minMax"/>
          <c:max val="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758859503"/>
        <c:crosses val="autoZero"/>
        <c:crossBetween val="between"/>
      </c:valAx>
      <c:spPr>
        <a:noFill/>
        <a:ln>
          <a:noFill/>
        </a:ln>
        <a:effectLst/>
      </c:spPr>
    </c:plotArea>
    <c:legend>
      <c:legendPos val="b"/>
      <c:layout>
        <c:manualLayout>
          <c:xMode val="edge"/>
          <c:yMode val="edge"/>
          <c:x val="0"/>
          <c:y val="0.90410887988113908"/>
          <c:w val="0.99882806972181504"/>
          <c:h val="9.589112011886086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sz="1100"/>
              <a:t>Source:</a:t>
            </a:r>
            <a:r>
              <a:rPr lang="en-GB" sz="1100" baseline="0"/>
              <a:t> MSG National Data</a:t>
            </a:r>
            <a:endParaRPr lang="en-GB"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DD!$B$21:$B$24</c:f>
              <c:strCache>
                <c:ptCount val="4"/>
                <c:pt idx="0">
                  <c:v>Q1</c:v>
                </c:pt>
                <c:pt idx="1">
                  <c:v>Q2</c:v>
                </c:pt>
                <c:pt idx="2">
                  <c:v>Q3</c:v>
                </c:pt>
                <c:pt idx="3">
                  <c:v>Q4</c:v>
                </c:pt>
              </c:strCache>
            </c:strRef>
          </c:cat>
          <c:val>
            <c:numRef>
              <c:f>DD!$C$21:$C$24</c:f>
              <c:numCache>
                <c:formatCode>General</c:formatCode>
                <c:ptCount val="4"/>
                <c:pt idx="0">
                  <c:v>169</c:v>
                </c:pt>
                <c:pt idx="1">
                  <c:v>157</c:v>
                </c:pt>
                <c:pt idx="2">
                  <c:v>134</c:v>
                </c:pt>
                <c:pt idx="3">
                  <c:v>108</c:v>
                </c:pt>
              </c:numCache>
            </c:numRef>
          </c:val>
          <c:smooth val="0"/>
          <c:extLst>
            <c:ext xmlns:c16="http://schemas.microsoft.com/office/drawing/2014/chart" uri="{C3380CC4-5D6E-409C-BE32-E72D297353CC}">
              <c16:uniqueId val="{00000001-FB95-43FD-AC84-51C0BB139A2D}"/>
            </c:ext>
          </c:extLst>
        </c:ser>
        <c:dLbls>
          <c:dLblPos val="t"/>
          <c:showLegendKey val="0"/>
          <c:showVal val="1"/>
          <c:showCatName val="0"/>
          <c:showSerName val="0"/>
          <c:showPercent val="0"/>
          <c:showBubbleSize val="0"/>
        </c:dLbls>
        <c:smooth val="0"/>
        <c:axId val="514185104"/>
        <c:axId val="597518384"/>
      </c:lineChart>
      <c:catAx>
        <c:axId val="51418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97518384"/>
        <c:crosses val="autoZero"/>
        <c:auto val="1"/>
        <c:lblAlgn val="ctr"/>
        <c:lblOffset val="100"/>
        <c:noMultiLvlLbl val="0"/>
      </c:catAx>
      <c:valAx>
        <c:axId val="597518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141851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sz="1100"/>
              <a:t>Source:</a:t>
            </a:r>
            <a:r>
              <a:rPr lang="en-GB" sz="1100" baseline="0"/>
              <a:t> MSG National Data</a:t>
            </a:r>
            <a:endParaRPr lang="en-GB"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2478995038914931"/>
          <c:y val="0.19339734972152872"/>
          <c:w val="0.82434299758772933"/>
          <c:h val="0.51172816812532584"/>
        </c:manualLayout>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DD!$B$10:$B$15</c:f>
              <c:strCache>
                <c:ptCount val="6"/>
                <c:pt idx="0">
                  <c:v>2018/19</c:v>
                </c:pt>
                <c:pt idx="1">
                  <c:v>2019/20</c:v>
                </c:pt>
                <c:pt idx="2">
                  <c:v>2020/21</c:v>
                </c:pt>
                <c:pt idx="3">
                  <c:v>2021/22 </c:v>
                </c:pt>
                <c:pt idx="4">
                  <c:v>2022/23</c:v>
                </c:pt>
                <c:pt idx="5">
                  <c:v>2023/24 </c:v>
                </c:pt>
              </c:strCache>
            </c:strRef>
          </c:cat>
          <c:val>
            <c:numRef>
              <c:f>DD!$C$10:$C$15</c:f>
              <c:numCache>
                <c:formatCode>General</c:formatCode>
                <c:ptCount val="6"/>
                <c:pt idx="0" formatCode="#,##0">
                  <c:v>65.297776575859345</c:v>
                </c:pt>
                <c:pt idx="1">
                  <c:v>81</c:v>
                </c:pt>
                <c:pt idx="2" formatCode="#,##0">
                  <c:v>61</c:v>
                </c:pt>
                <c:pt idx="3" formatCode="#,##0">
                  <c:v>150</c:v>
                </c:pt>
                <c:pt idx="4" formatCode="#,##0">
                  <c:v>166</c:v>
                </c:pt>
                <c:pt idx="5" formatCode="#,##0">
                  <c:v>108</c:v>
                </c:pt>
              </c:numCache>
            </c:numRef>
          </c:val>
          <c:smooth val="0"/>
          <c:extLst>
            <c:ext xmlns:c16="http://schemas.microsoft.com/office/drawing/2014/chart" uri="{C3380CC4-5D6E-409C-BE32-E72D297353CC}">
              <c16:uniqueId val="{00000001-9499-439F-9B46-666AA9A389DC}"/>
            </c:ext>
          </c:extLst>
        </c:ser>
        <c:dLbls>
          <c:showLegendKey val="0"/>
          <c:showVal val="0"/>
          <c:showCatName val="0"/>
          <c:showSerName val="0"/>
          <c:showPercent val="0"/>
          <c:showBubbleSize val="0"/>
        </c:dLbls>
        <c:smooth val="0"/>
        <c:axId val="514189904"/>
        <c:axId val="597515472"/>
      </c:lineChart>
      <c:catAx>
        <c:axId val="514189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97515472"/>
        <c:crosses val="autoZero"/>
        <c:auto val="1"/>
        <c:lblAlgn val="ctr"/>
        <c:lblOffset val="100"/>
        <c:noMultiLvlLbl val="0"/>
      </c:catAx>
      <c:valAx>
        <c:axId val="5975154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141899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sz="1100"/>
              <a:t>Source:</a:t>
            </a:r>
            <a:r>
              <a:rPr lang="en-GB" sz="1100" baseline="0"/>
              <a:t> PHS</a:t>
            </a:r>
            <a:endParaRPr lang="en-GB"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8036359425660028"/>
          <c:y val="0.17637860082304527"/>
          <c:w val="0.7804207194688898"/>
          <c:h val="0.479716146592787"/>
        </c:manualLayout>
      </c:layout>
      <c:lineChart>
        <c:grouping val="standard"/>
        <c:varyColors val="0"/>
        <c:ser>
          <c:idx val="0"/>
          <c:order val="0"/>
          <c:spPr>
            <a:ln w="28575" cap="rnd">
              <a:solidFill>
                <a:schemeClr val="accent1"/>
              </a:solidFill>
              <a:round/>
            </a:ln>
            <a:effectLst/>
          </c:spPr>
          <c:marker>
            <c:symbol val="none"/>
          </c:marker>
          <c:cat>
            <c:strRef>
              <c:f>spend!$A$2:$A$7</c:f>
              <c:strCache>
                <c:ptCount val="6"/>
                <c:pt idx="0">
                  <c:v>2015/16</c:v>
                </c:pt>
                <c:pt idx="1">
                  <c:v>2016/17</c:v>
                </c:pt>
                <c:pt idx="2">
                  <c:v>2017/18</c:v>
                </c:pt>
                <c:pt idx="3">
                  <c:v>2018/19</c:v>
                </c:pt>
                <c:pt idx="4">
                  <c:v>2019/20</c:v>
                </c:pt>
                <c:pt idx="5">
                  <c:v>2020/21</c:v>
                </c:pt>
              </c:strCache>
            </c:strRef>
          </c:cat>
          <c:val>
            <c:numRef>
              <c:f>spend!$B$2:$B$7</c:f>
              <c:numCache>
                <c:formatCode>0.00%</c:formatCode>
                <c:ptCount val="6"/>
                <c:pt idx="0">
                  <c:v>0.25700000000000001</c:v>
                </c:pt>
                <c:pt idx="1">
                  <c:v>0.251</c:v>
                </c:pt>
                <c:pt idx="2">
                  <c:v>0.24500000000000005</c:v>
                </c:pt>
                <c:pt idx="3">
                  <c:v>0.23800000000000004</c:v>
                </c:pt>
                <c:pt idx="4">
                  <c:v>0.20600000000000004</c:v>
                </c:pt>
                <c:pt idx="5">
                  <c:v>0.19900000000000001</c:v>
                </c:pt>
              </c:numCache>
            </c:numRef>
          </c:val>
          <c:smooth val="0"/>
          <c:extLst>
            <c:ext xmlns:c16="http://schemas.microsoft.com/office/drawing/2014/chart" uri="{C3380CC4-5D6E-409C-BE32-E72D297353CC}">
              <c16:uniqueId val="{00000000-0485-4DDC-905B-1BFEC154205A}"/>
            </c:ext>
          </c:extLst>
        </c:ser>
        <c:dLbls>
          <c:showLegendKey val="0"/>
          <c:showVal val="0"/>
          <c:showCatName val="0"/>
          <c:showSerName val="0"/>
          <c:showPercent val="0"/>
          <c:showBubbleSize val="0"/>
        </c:dLbls>
        <c:smooth val="0"/>
        <c:axId val="134658688"/>
        <c:axId val="134836608"/>
      </c:lineChart>
      <c:catAx>
        <c:axId val="13465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836608"/>
        <c:crosses val="autoZero"/>
        <c:auto val="1"/>
        <c:lblAlgn val="ctr"/>
        <c:lblOffset val="100"/>
        <c:noMultiLvlLbl val="0"/>
      </c:catAx>
      <c:valAx>
        <c:axId val="134836608"/>
        <c:scaling>
          <c:orientation val="minMax"/>
          <c:min val="0.1800000000000000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6586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a:t>Source:</a:t>
            </a:r>
            <a:r>
              <a:rPr lang="en-GB" sz="1200" b="0" baseline="0"/>
              <a:t> NHST BSU</a:t>
            </a:r>
            <a:endParaRPr lang="en-GB" sz="1200" b="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442592508306404"/>
          <c:y val="0.16105721352732144"/>
          <c:w val="0.82277087847240571"/>
          <c:h val="0.45988269984770425"/>
        </c:manualLayout>
      </c:layout>
      <c:lineChart>
        <c:grouping val="standard"/>
        <c:varyColors val="0"/>
        <c:ser>
          <c:idx val="0"/>
          <c:order val="0"/>
          <c:tx>
            <c:strRef>
              <c:f>'[workings Q4.xlsx]Adm'!$B$55</c:f>
              <c:strCache>
                <c:ptCount val="1"/>
                <c:pt idx="0">
                  <c:v>D</c:v>
                </c:pt>
              </c:strCache>
            </c:strRef>
          </c:tx>
          <c:spPr>
            <a:ln w="28575" cap="rnd">
              <a:solidFill>
                <a:schemeClr val="accent1"/>
              </a:solidFill>
              <a:round/>
            </a:ln>
            <a:effectLst/>
          </c:spPr>
          <c:marker>
            <c:symbol val="none"/>
          </c:marker>
          <c:cat>
            <c:strRef>
              <c:f>'[workings Q4.xlsx]Adm'!$A$56:$A$66</c:f>
              <c:strCache>
                <c:ptCount val="11"/>
                <c:pt idx="0">
                  <c:v>2015/16</c:v>
                </c:pt>
                <c:pt idx="1">
                  <c:v>2016/17</c:v>
                </c:pt>
                <c:pt idx="2">
                  <c:v>2017/18</c:v>
                </c:pt>
                <c:pt idx="3">
                  <c:v>2018/19</c:v>
                </c:pt>
                <c:pt idx="4">
                  <c:v>2019/20</c:v>
                </c:pt>
                <c:pt idx="5">
                  <c:v>2020/21</c:v>
                </c:pt>
                <c:pt idx="6">
                  <c:v>2021/22 </c:v>
                </c:pt>
                <c:pt idx="7">
                  <c:v>2022/23</c:v>
                </c:pt>
                <c:pt idx="8">
                  <c:v>2023/24 to Q2</c:v>
                </c:pt>
                <c:pt idx="9">
                  <c:v>2023/24 to Q3</c:v>
                </c:pt>
                <c:pt idx="10">
                  <c:v>2023/24 to Q4</c:v>
                </c:pt>
              </c:strCache>
            </c:strRef>
          </c:cat>
          <c:val>
            <c:numRef>
              <c:f>'[workings Q4.xlsx]Adm'!$B$56:$B$66</c:f>
              <c:numCache>
                <c:formatCode>#,##0</c:formatCode>
                <c:ptCount val="11"/>
                <c:pt idx="0" formatCode="0">
                  <c:v>11936.903525688573</c:v>
                </c:pt>
                <c:pt idx="1">
                  <c:v>11873.359607046181</c:v>
                </c:pt>
                <c:pt idx="2">
                  <c:v>12734.29745625764</c:v>
                </c:pt>
                <c:pt idx="3">
                  <c:v>12648.454596867392</c:v>
                </c:pt>
                <c:pt idx="4">
                  <c:v>12459.940823067529</c:v>
                </c:pt>
                <c:pt idx="5">
                  <c:v>11657.52784676289</c:v>
                </c:pt>
                <c:pt idx="6" formatCode="0">
                  <c:v>12516</c:v>
                </c:pt>
                <c:pt idx="7" formatCode="0">
                  <c:v>13032</c:v>
                </c:pt>
                <c:pt idx="8" formatCode="0">
                  <c:v>13916</c:v>
                </c:pt>
                <c:pt idx="9" formatCode="0">
                  <c:v>14316.362736199357</c:v>
                </c:pt>
                <c:pt idx="10" formatCode="0">
                  <c:v>14418.681409357207</c:v>
                </c:pt>
              </c:numCache>
            </c:numRef>
          </c:val>
          <c:smooth val="0"/>
          <c:extLst>
            <c:ext xmlns:c16="http://schemas.microsoft.com/office/drawing/2014/chart" uri="{C3380CC4-5D6E-409C-BE32-E72D297353CC}">
              <c16:uniqueId val="{00000001-C493-4455-8A4D-A331062FCE96}"/>
            </c:ext>
          </c:extLst>
        </c:ser>
        <c:ser>
          <c:idx val="1"/>
          <c:order val="1"/>
          <c:tx>
            <c:strRef>
              <c:f>'[workings Q4.xlsx]Adm'!$C$55</c:f>
              <c:strCache>
                <c:ptCount val="1"/>
                <c:pt idx="0">
                  <c:v>Lowest at Q4 WE</c:v>
                </c:pt>
              </c:strCache>
            </c:strRef>
          </c:tx>
          <c:spPr>
            <a:ln w="28575" cap="rnd">
              <a:solidFill>
                <a:schemeClr val="accent2"/>
              </a:solidFill>
              <a:round/>
            </a:ln>
            <a:effectLst/>
          </c:spPr>
          <c:marker>
            <c:symbol val="none"/>
          </c:marker>
          <c:cat>
            <c:strRef>
              <c:f>'[workings Q4.xlsx]Adm'!$A$56:$A$66</c:f>
              <c:strCache>
                <c:ptCount val="11"/>
                <c:pt idx="0">
                  <c:v>2015/16</c:v>
                </c:pt>
                <c:pt idx="1">
                  <c:v>2016/17</c:v>
                </c:pt>
                <c:pt idx="2">
                  <c:v>2017/18</c:v>
                </c:pt>
                <c:pt idx="3">
                  <c:v>2018/19</c:v>
                </c:pt>
                <c:pt idx="4">
                  <c:v>2019/20</c:v>
                </c:pt>
                <c:pt idx="5">
                  <c:v>2020/21</c:v>
                </c:pt>
                <c:pt idx="6">
                  <c:v>2021/22 </c:v>
                </c:pt>
                <c:pt idx="7">
                  <c:v>2022/23</c:v>
                </c:pt>
                <c:pt idx="8">
                  <c:v>2023/24 to Q2</c:v>
                </c:pt>
                <c:pt idx="9">
                  <c:v>2023/24 to Q3</c:v>
                </c:pt>
                <c:pt idx="10">
                  <c:v>2023/24 to Q4</c:v>
                </c:pt>
              </c:strCache>
            </c:strRef>
          </c:cat>
          <c:val>
            <c:numRef>
              <c:f>'[workings Q4.xlsx]Adm'!$C$56:$C$66</c:f>
              <c:numCache>
                <c:formatCode>#,##0</c:formatCode>
                <c:ptCount val="11"/>
                <c:pt idx="0">
                  <c:v>7999.3347746549152</c:v>
                </c:pt>
                <c:pt idx="1">
                  <c:v>8188.4619643450342</c:v>
                </c:pt>
                <c:pt idx="2">
                  <c:v>8750.4797412138814</c:v>
                </c:pt>
                <c:pt idx="3">
                  <c:v>8980.0382827454196</c:v>
                </c:pt>
                <c:pt idx="4">
                  <c:v>8411.2660650806683</c:v>
                </c:pt>
                <c:pt idx="5">
                  <c:v>8066.7213563029809</c:v>
                </c:pt>
                <c:pt idx="6" formatCode="0">
                  <c:v>8007</c:v>
                </c:pt>
                <c:pt idx="7" formatCode="0">
                  <c:v>9728</c:v>
                </c:pt>
                <c:pt idx="8" formatCode="0">
                  <c:v>10833</c:v>
                </c:pt>
                <c:pt idx="9" formatCode="0">
                  <c:v>10763.447079236554</c:v>
                </c:pt>
                <c:pt idx="10" formatCode="0">
                  <c:v>10358.588779641412</c:v>
                </c:pt>
              </c:numCache>
            </c:numRef>
          </c:val>
          <c:smooth val="0"/>
          <c:extLst>
            <c:ext xmlns:c16="http://schemas.microsoft.com/office/drawing/2014/chart" uri="{C3380CC4-5D6E-409C-BE32-E72D297353CC}">
              <c16:uniqueId val="{00000002-C493-4455-8A4D-A331062FCE96}"/>
            </c:ext>
          </c:extLst>
        </c:ser>
        <c:ser>
          <c:idx val="2"/>
          <c:order val="2"/>
          <c:tx>
            <c:strRef>
              <c:f>'[workings Q4.xlsx]Adm'!$D$55</c:f>
              <c:strCache>
                <c:ptCount val="1"/>
                <c:pt idx="0">
                  <c:v>Highest at Q4 EE</c:v>
                </c:pt>
              </c:strCache>
            </c:strRef>
          </c:tx>
          <c:spPr>
            <a:ln w="28575" cap="rnd">
              <a:solidFill>
                <a:schemeClr val="accent3"/>
              </a:solidFill>
              <a:round/>
            </a:ln>
            <a:effectLst/>
          </c:spPr>
          <c:marker>
            <c:symbol val="none"/>
          </c:marker>
          <c:cat>
            <c:strRef>
              <c:f>'[workings Q4.xlsx]Adm'!$A$56:$A$66</c:f>
              <c:strCache>
                <c:ptCount val="11"/>
                <c:pt idx="0">
                  <c:v>2015/16</c:v>
                </c:pt>
                <c:pt idx="1">
                  <c:v>2016/17</c:v>
                </c:pt>
                <c:pt idx="2">
                  <c:v>2017/18</c:v>
                </c:pt>
                <c:pt idx="3">
                  <c:v>2018/19</c:v>
                </c:pt>
                <c:pt idx="4">
                  <c:v>2019/20</c:v>
                </c:pt>
                <c:pt idx="5">
                  <c:v>2020/21</c:v>
                </c:pt>
                <c:pt idx="6">
                  <c:v>2021/22 </c:v>
                </c:pt>
                <c:pt idx="7">
                  <c:v>2022/23</c:v>
                </c:pt>
                <c:pt idx="8">
                  <c:v>2023/24 to Q2</c:v>
                </c:pt>
                <c:pt idx="9">
                  <c:v>2023/24 to Q3</c:v>
                </c:pt>
                <c:pt idx="10">
                  <c:v>2023/24 to Q4</c:v>
                </c:pt>
              </c:strCache>
            </c:strRef>
          </c:cat>
          <c:val>
            <c:numRef>
              <c:f>'[workings Q4.xlsx]Adm'!$D$56:$D$66</c:f>
              <c:numCache>
                <c:formatCode>#,##0</c:formatCode>
                <c:ptCount val="11"/>
                <c:pt idx="0">
                  <c:v>15822.429156297663</c:v>
                </c:pt>
                <c:pt idx="1">
                  <c:v>14618.047170570717</c:v>
                </c:pt>
                <c:pt idx="2">
                  <c:v>16416.326530612245</c:v>
                </c:pt>
                <c:pt idx="3">
                  <c:v>16829.328303124745</c:v>
                </c:pt>
                <c:pt idx="4">
                  <c:v>17337.816780119741</c:v>
                </c:pt>
                <c:pt idx="5">
                  <c:v>16238.825555646683</c:v>
                </c:pt>
                <c:pt idx="6" formatCode="0">
                  <c:v>17346</c:v>
                </c:pt>
                <c:pt idx="7" formatCode="0">
                  <c:v>16507</c:v>
                </c:pt>
                <c:pt idx="8" formatCode="0">
                  <c:v>17020</c:v>
                </c:pt>
                <c:pt idx="9" formatCode="0">
                  <c:v>17515.712868011909</c:v>
                </c:pt>
                <c:pt idx="10" formatCode="0">
                  <c:v>17457.823354283824</c:v>
                </c:pt>
              </c:numCache>
            </c:numRef>
          </c:val>
          <c:smooth val="0"/>
          <c:extLst>
            <c:ext xmlns:c16="http://schemas.microsoft.com/office/drawing/2014/chart" uri="{C3380CC4-5D6E-409C-BE32-E72D297353CC}">
              <c16:uniqueId val="{00000003-C493-4455-8A4D-A331062FCE96}"/>
            </c:ext>
          </c:extLst>
        </c:ser>
        <c:dLbls>
          <c:showLegendKey val="0"/>
          <c:showVal val="0"/>
          <c:showCatName val="0"/>
          <c:showSerName val="0"/>
          <c:showPercent val="0"/>
          <c:showBubbleSize val="0"/>
        </c:dLbls>
        <c:smooth val="0"/>
        <c:axId val="2095659823"/>
        <c:axId val="1729648191"/>
      </c:lineChart>
      <c:catAx>
        <c:axId val="20956598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50" b="0" i="0" u="none" strike="noStrike" kern="1200" baseline="0">
                <a:solidFill>
                  <a:schemeClr val="tx1">
                    <a:lumMod val="65000"/>
                    <a:lumOff val="35000"/>
                  </a:schemeClr>
                </a:solidFill>
                <a:latin typeface="+mn-lt"/>
                <a:ea typeface="+mn-ea"/>
                <a:cs typeface="+mn-cs"/>
              </a:defRPr>
            </a:pPr>
            <a:endParaRPr lang="en-US"/>
          </a:p>
        </c:txPr>
        <c:crossAx val="1729648191"/>
        <c:crosses val="autoZero"/>
        <c:auto val="1"/>
        <c:lblAlgn val="ctr"/>
        <c:lblOffset val="100"/>
        <c:noMultiLvlLbl val="0"/>
      </c:catAx>
      <c:valAx>
        <c:axId val="172964819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95659823"/>
        <c:crosses val="autoZero"/>
        <c:crossBetween val="between"/>
      </c:valAx>
      <c:spPr>
        <a:noFill/>
        <a:ln>
          <a:noFill/>
        </a:ln>
        <a:effectLst/>
      </c:spPr>
    </c:plotArea>
    <c:legend>
      <c:legendPos val="b"/>
      <c:layout>
        <c:manualLayout>
          <c:xMode val="edge"/>
          <c:yMode val="edge"/>
          <c:x val="3.0222832884144516E-2"/>
          <c:y val="0.84178520894764697"/>
          <c:w val="0.94850288009300854"/>
          <c:h val="0.1417538857025587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i="0" baseline="0">
                <a:effectLst/>
              </a:rPr>
              <a:t>Source: National MSG Data</a:t>
            </a:r>
            <a:endParaRPr lang="en-GB"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Adm!$B$10:$B$15</c:f>
              <c:strCache>
                <c:ptCount val="6"/>
                <c:pt idx="0">
                  <c:v>2018/19</c:v>
                </c:pt>
                <c:pt idx="1">
                  <c:v>2019/20</c:v>
                </c:pt>
                <c:pt idx="2">
                  <c:v>2020/21</c:v>
                </c:pt>
                <c:pt idx="3">
                  <c:v>2021/22 </c:v>
                </c:pt>
                <c:pt idx="4">
                  <c:v>2022/23</c:v>
                </c:pt>
                <c:pt idx="5">
                  <c:v>2023/24</c:v>
                </c:pt>
              </c:strCache>
            </c:strRef>
          </c:cat>
          <c:val>
            <c:numRef>
              <c:f>Adm!$C$10:$C$15</c:f>
              <c:numCache>
                <c:formatCode>General</c:formatCode>
                <c:ptCount val="6"/>
                <c:pt idx="0">
                  <c:v>12155</c:v>
                </c:pt>
                <c:pt idx="1">
                  <c:v>12069</c:v>
                </c:pt>
                <c:pt idx="2">
                  <c:v>11192</c:v>
                </c:pt>
                <c:pt idx="3">
                  <c:v>12163</c:v>
                </c:pt>
                <c:pt idx="4">
                  <c:v>12695</c:v>
                </c:pt>
                <c:pt idx="5" formatCode="#,##0">
                  <c:v>14130.703853453255</c:v>
                </c:pt>
              </c:numCache>
            </c:numRef>
          </c:val>
          <c:smooth val="0"/>
          <c:extLst>
            <c:ext xmlns:c16="http://schemas.microsoft.com/office/drawing/2014/chart" uri="{C3380CC4-5D6E-409C-BE32-E72D297353CC}">
              <c16:uniqueId val="{00000001-3304-4B6B-9348-BD03F1C6D45E}"/>
            </c:ext>
          </c:extLst>
        </c:ser>
        <c:dLbls>
          <c:dLblPos val="t"/>
          <c:showLegendKey val="0"/>
          <c:showVal val="1"/>
          <c:showCatName val="0"/>
          <c:showSerName val="0"/>
          <c:showPercent val="0"/>
          <c:showBubbleSize val="0"/>
        </c:dLbls>
        <c:smooth val="0"/>
        <c:axId val="514219104"/>
        <c:axId val="529267376"/>
      </c:lineChart>
      <c:catAx>
        <c:axId val="51421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29267376"/>
        <c:crosses val="autoZero"/>
        <c:auto val="1"/>
        <c:lblAlgn val="ctr"/>
        <c:lblOffset val="100"/>
        <c:noMultiLvlLbl val="0"/>
      </c:catAx>
      <c:valAx>
        <c:axId val="529267376"/>
        <c:scaling>
          <c:orientation val="minMax"/>
          <c:min val="4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14219104"/>
        <c:crosses val="autoZero"/>
        <c:crossBetween val="between"/>
        <c:majorUnit val="400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Source:</a:t>
            </a:r>
            <a:r>
              <a:rPr lang="en-GB" sz="1200" baseline="0"/>
              <a:t> MSG National Data</a:t>
            </a:r>
            <a:endParaRPr lang="en-GB"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9781569810978237"/>
          <c:y val="0.21538785315065853"/>
          <c:w val="0.63878372552134155"/>
          <c:h val="0.59330513239109706"/>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'A&amp;E Admissions'!$A$16:$A$19</c:f>
              <c:strCache>
                <c:ptCount val="4"/>
                <c:pt idx="0">
                  <c:v>Q1</c:v>
                </c:pt>
                <c:pt idx="1">
                  <c:v>Q2</c:v>
                </c:pt>
                <c:pt idx="2">
                  <c:v>Q3</c:v>
                </c:pt>
                <c:pt idx="3">
                  <c:v>Q4</c:v>
                </c:pt>
              </c:strCache>
            </c:strRef>
          </c:cat>
          <c:val>
            <c:numRef>
              <c:f>'A&amp;E Admissions'!$B$16:$B$19</c:f>
              <c:numCache>
                <c:formatCode>General</c:formatCode>
                <c:ptCount val="4"/>
                <c:pt idx="0">
                  <c:v>8341</c:v>
                </c:pt>
                <c:pt idx="1">
                  <c:v>8428</c:v>
                </c:pt>
                <c:pt idx="2">
                  <c:v>8363</c:v>
                </c:pt>
                <c:pt idx="3">
                  <c:v>8453</c:v>
                </c:pt>
              </c:numCache>
            </c:numRef>
          </c:val>
          <c:smooth val="0"/>
          <c:extLst>
            <c:ext xmlns:c16="http://schemas.microsoft.com/office/drawing/2014/chart" uri="{C3380CC4-5D6E-409C-BE32-E72D297353CC}">
              <c16:uniqueId val="{00000000-6731-4017-93A4-FC1D9FA0BC7A}"/>
            </c:ext>
          </c:extLst>
        </c:ser>
        <c:dLbls>
          <c:dLblPos val="t"/>
          <c:showLegendKey val="0"/>
          <c:showVal val="1"/>
          <c:showCatName val="0"/>
          <c:showSerName val="0"/>
          <c:showPercent val="0"/>
          <c:showBubbleSize val="0"/>
        </c:dLbls>
        <c:smooth val="0"/>
        <c:axId val="1157088191"/>
        <c:axId val="1253648463"/>
      </c:lineChart>
      <c:catAx>
        <c:axId val="1157088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253648463"/>
        <c:crosses val="autoZero"/>
        <c:auto val="1"/>
        <c:lblAlgn val="ctr"/>
        <c:lblOffset val="100"/>
        <c:noMultiLvlLbl val="0"/>
      </c:catAx>
      <c:valAx>
        <c:axId val="12536484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Admissions</a:t>
                </a:r>
                <a:r>
                  <a:rPr lang="en-GB" sz="800" baseline="0"/>
                  <a:t> from A+E Numbers 18+</a:t>
                </a:r>
                <a:endParaRPr lang="en-GB" sz="800"/>
              </a:p>
            </c:rich>
          </c:tx>
          <c:layout>
            <c:manualLayout>
              <c:xMode val="edge"/>
              <c:yMode val="edge"/>
              <c:x val="2.3054755043227664E-2"/>
              <c:y val="0.22685523416102196"/>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57088191"/>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Source: MSG National Data</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'A&amp;E Admissions'!$A$8:$A$13</c:f>
              <c:strCache>
                <c:ptCount val="6"/>
                <c:pt idx="0">
                  <c:v>2018/19</c:v>
                </c:pt>
                <c:pt idx="1">
                  <c:v>2019/20</c:v>
                </c:pt>
                <c:pt idx="2">
                  <c:v>2020/21</c:v>
                </c:pt>
                <c:pt idx="3">
                  <c:v>2021/22</c:v>
                </c:pt>
                <c:pt idx="4">
                  <c:v>2022/23 </c:v>
                </c:pt>
                <c:pt idx="5">
                  <c:v>2023/24</c:v>
                </c:pt>
              </c:strCache>
            </c:strRef>
          </c:cat>
          <c:val>
            <c:numRef>
              <c:f>'A&amp;E Admissions'!$B$8:$B$13</c:f>
              <c:numCache>
                <c:formatCode>General</c:formatCode>
                <c:ptCount val="6"/>
                <c:pt idx="0" formatCode="#,##0">
                  <c:v>7440</c:v>
                </c:pt>
                <c:pt idx="1">
                  <c:v>7605</c:v>
                </c:pt>
                <c:pt idx="2">
                  <c:v>7160</c:v>
                </c:pt>
                <c:pt idx="3">
                  <c:v>7838</c:v>
                </c:pt>
                <c:pt idx="4">
                  <c:v>8249</c:v>
                </c:pt>
                <c:pt idx="5">
                  <c:v>8453</c:v>
                </c:pt>
              </c:numCache>
            </c:numRef>
          </c:val>
          <c:smooth val="0"/>
          <c:extLst>
            <c:ext xmlns:c16="http://schemas.microsoft.com/office/drawing/2014/chart" uri="{C3380CC4-5D6E-409C-BE32-E72D297353CC}">
              <c16:uniqueId val="{00000000-8D2D-4F17-A973-AB70B1C58FA8}"/>
            </c:ext>
          </c:extLst>
        </c:ser>
        <c:dLbls>
          <c:showLegendKey val="0"/>
          <c:showVal val="0"/>
          <c:showCatName val="0"/>
          <c:showSerName val="0"/>
          <c:showPercent val="0"/>
          <c:showBubbleSize val="0"/>
        </c:dLbls>
        <c:smooth val="0"/>
        <c:axId val="1157176591"/>
        <c:axId val="1253625999"/>
      </c:lineChart>
      <c:catAx>
        <c:axId val="1157176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53625999"/>
        <c:crosses val="autoZero"/>
        <c:auto val="1"/>
        <c:lblAlgn val="ctr"/>
        <c:lblOffset val="100"/>
        <c:noMultiLvlLbl val="0"/>
      </c:catAx>
      <c:valAx>
        <c:axId val="1253625999"/>
        <c:scaling>
          <c:orientation val="minMax"/>
          <c:min val="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Admissions</a:t>
                </a:r>
                <a:r>
                  <a:rPr lang="en-GB" sz="800" baseline="0"/>
                  <a:t> from A+E No. 18+</a:t>
                </a:r>
                <a:endParaRPr lang="en-GB" sz="800"/>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B"/>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57176591"/>
        <c:crosses val="autoZero"/>
        <c:crossBetween val="between"/>
        <c:majorUnit val="100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Source : MSG National Data</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035149424765709"/>
          <c:y val="0.21170944428988284"/>
          <c:w val="0.80930268442669451"/>
          <c:h val="0.61292710227162439"/>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'A&amp;E Admissions'!$A$23:$A$26</c:f>
              <c:strCache>
                <c:ptCount val="4"/>
                <c:pt idx="0">
                  <c:v>Q1</c:v>
                </c:pt>
                <c:pt idx="1">
                  <c:v>Q2</c:v>
                </c:pt>
                <c:pt idx="2">
                  <c:v>Q3</c:v>
                </c:pt>
                <c:pt idx="3">
                  <c:v>Q4</c:v>
                </c:pt>
              </c:strCache>
            </c:strRef>
          </c:cat>
          <c:val>
            <c:numRef>
              <c:f>'A&amp;E Admissions'!$B$23:$B$26</c:f>
              <c:numCache>
                <c:formatCode>0</c:formatCode>
                <c:ptCount val="4"/>
                <c:pt idx="0" formatCode="General">
                  <c:v>338</c:v>
                </c:pt>
                <c:pt idx="1">
                  <c:v>342.10099042052281</c:v>
                </c:pt>
                <c:pt idx="2">
                  <c:v>339</c:v>
                </c:pt>
                <c:pt idx="3">
                  <c:v>343</c:v>
                </c:pt>
              </c:numCache>
            </c:numRef>
          </c:val>
          <c:smooth val="0"/>
          <c:extLst>
            <c:ext xmlns:c16="http://schemas.microsoft.com/office/drawing/2014/chart" uri="{C3380CC4-5D6E-409C-BE32-E72D297353CC}">
              <c16:uniqueId val="{00000000-D853-43AF-91A1-D7649CBD1A7B}"/>
            </c:ext>
          </c:extLst>
        </c:ser>
        <c:dLbls>
          <c:showLegendKey val="0"/>
          <c:showVal val="0"/>
          <c:showCatName val="0"/>
          <c:showSerName val="0"/>
          <c:showPercent val="0"/>
          <c:showBubbleSize val="0"/>
        </c:dLbls>
        <c:smooth val="0"/>
        <c:axId val="326645767"/>
        <c:axId val="443571207"/>
      </c:lineChart>
      <c:catAx>
        <c:axId val="326645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3571207"/>
        <c:crosses val="autoZero"/>
        <c:auto val="1"/>
        <c:lblAlgn val="ctr"/>
        <c:lblOffset val="100"/>
        <c:noMultiLvlLbl val="0"/>
      </c:catAx>
      <c:valAx>
        <c:axId val="4435712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26645767"/>
        <c:crosses val="autoZero"/>
        <c:crossBetween val="between"/>
        <c:majorUnit val="4"/>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Source:</a:t>
            </a:r>
            <a:r>
              <a:rPr lang="en-GB" sz="1200" baseline="0"/>
              <a:t> MSG National Data</a:t>
            </a:r>
            <a:endParaRPr lang="en-GB"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0836593691684493"/>
          <c:y val="0.19883707698328329"/>
          <c:w val="0.74076701106003362"/>
          <c:h val="0.50285845922414441"/>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'A&amp;E Admissions'!$A$29:$A$34</c:f>
              <c:strCache>
                <c:ptCount val="6"/>
                <c:pt idx="0">
                  <c:v>2018/19</c:v>
                </c:pt>
                <c:pt idx="1">
                  <c:v>2019/20</c:v>
                </c:pt>
                <c:pt idx="2">
                  <c:v>2020/21</c:v>
                </c:pt>
                <c:pt idx="3">
                  <c:v>2021/22</c:v>
                </c:pt>
                <c:pt idx="4">
                  <c:v>2022/23 </c:v>
                </c:pt>
                <c:pt idx="5">
                  <c:v>2023/24 </c:v>
                </c:pt>
              </c:strCache>
            </c:strRef>
          </c:cat>
          <c:val>
            <c:numRef>
              <c:f>'A&amp;E Admissions'!$B$29:$B$34</c:f>
              <c:numCache>
                <c:formatCode>General</c:formatCode>
                <c:ptCount val="6"/>
                <c:pt idx="0" formatCode="#,##0">
                  <c:v>301</c:v>
                </c:pt>
                <c:pt idx="1">
                  <c:v>313</c:v>
                </c:pt>
                <c:pt idx="2">
                  <c:v>376</c:v>
                </c:pt>
                <c:pt idx="3">
                  <c:v>344</c:v>
                </c:pt>
                <c:pt idx="4">
                  <c:v>335</c:v>
                </c:pt>
                <c:pt idx="5">
                  <c:v>343</c:v>
                </c:pt>
              </c:numCache>
            </c:numRef>
          </c:val>
          <c:smooth val="0"/>
          <c:extLst>
            <c:ext xmlns:c16="http://schemas.microsoft.com/office/drawing/2014/chart" uri="{C3380CC4-5D6E-409C-BE32-E72D297353CC}">
              <c16:uniqueId val="{00000000-4C4E-44F1-9C21-6393C62FAEF6}"/>
            </c:ext>
          </c:extLst>
        </c:ser>
        <c:dLbls>
          <c:showLegendKey val="0"/>
          <c:showVal val="0"/>
          <c:showCatName val="0"/>
          <c:showSerName val="0"/>
          <c:showPercent val="0"/>
          <c:showBubbleSize val="0"/>
        </c:dLbls>
        <c:smooth val="0"/>
        <c:axId val="1157139391"/>
        <c:axId val="1253640559"/>
      </c:lineChart>
      <c:catAx>
        <c:axId val="1157139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253640559"/>
        <c:crosses val="autoZero"/>
        <c:auto val="1"/>
        <c:lblAlgn val="ctr"/>
        <c:lblOffset val="100"/>
        <c:noMultiLvlLbl val="0"/>
      </c:catAx>
      <c:valAx>
        <c:axId val="1253640559"/>
        <c:scaling>
          <c:orientation val="minMax"/>
          <c:min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Adm</a:t>
                </a:r>
                <a:r>
                  <a:rPr lang="en-GB" sz="800" baseline="0"/>
                  <a:t> from A+E as rate per 1,000 attendances</a:t>
                </a:r>
                <a:endParaRPr lang="en-GB" sz="800"/>
              </a:p>
            </c:rich>
          </c:tx>
          <c:layout>
            <c:manualLayout>
              <c:xMode val="edge"/>
              <c:yMode val="edge"/>
              <c:x val="9.2485549132947983E-3"/>
              <c:y val="7.1942470004079925E-2"/>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B"/>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57139391"/>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CB50744A573743A40C0C921A82BE97" ma:contentTypeVersion="16" ma:contentTypeDescription="Create a new document." ma:contentTypeScope="" ma:versionID="214da2852f033bcbbb1c91ba7851a68c">
  <xsd:schema xmlns:xsd="http://www.w3.org/2001/XMLSchema" xmlns:xs="http://www.w3.org/2001/XMLSchema" xmlns:p="http://schemas.microsoft.com/office/2006/metadata/properties" xmlns:ns1="http://schemas.microsoft.com/sharepoint/v3" xmlns:ns2="720002b9-0f3e-4d9b-bf67-d6ce7b869a09" xmlns:ns3="5158ad91-305f-4e5a-b343-6ff76a3f54d4" targetNamespace="http://schemas.microsoft.com/office/2006/metadata/properties" ma:root="true" ma:fieldsID="0f63700f3469c19d0312ec82138f10e7" ns1:_="" ns2:_="" ns3:_="">
    <xsd:import namespace="http://schemas.microsoft.com/sharepoint/v3"/>
    <xsd:import namespace="720002b9-0f3e-4d9b-bf67-d6ce7b869a09"/>
    <xsd:import namespace="5158ad91-305f-4e5a-b343-6ff76a3f54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002b9-0f3e-4d9b-bf67-d6ce7b869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8ad91-305f-4e5a-b343-6ff76a3f54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3a0325-47bd-44b0-9f77-a3c6092a737e}" ma:internalName="TaxCatchAll" ma:showField="CatchAllData" ma:web="5158ad91-305f-4e5a-b343-6ff76a3f5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158ad91-305f-4e5a-b343-6ff76a3f54d4">
      <UserInfo>
        <DisplayName/>
        <AccountId xsi:nil="true"/>
        <AccountType/>
      </UserInfo>
    </SharedWithUsers>
    <_ip_UnifiedCompliancePolicyUIAction xmlns="http://schemas.microsoft.com/sharepoint/v3" xsi:nil="true"/>
    <lcf76f155ced4ddcb4097134ff3c332f xmlns="720002b9-0f3e-4d9b-bf67-d6ce7b869a09">
      <Terms xmlns="http://schemas.microsoft.com/office/infopath/2007/PartnerControls"/>
    </lcf76f155ced4ddcb4097134ff3c332f>
    <_ip_UnifiedCompliancePolicyProperties xmlns="http://schemas.microsoft.com/sharepoint/v3" xsi:nil="true"/>
    <TaxCatchAll xmlns="5158ad91-305f-4e5a-b343-6ff76a3f54d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9D678-8039-44AB-83E4-F5FF041BD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0002b9-0f3e-4d9b-bf67-d6ce7b869a09"/>
    <ds:schemaRef ds:uri="5158ad91-305f-4e5a-b343-6ff76a3f5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F85083-ABC1-4277-A492-18488107DBF3}">
  <ds:schemaRefs>
    <ds:schemaRef ds:uri="http://schemas.openxmlformats.org/officeDocument/2006/bibliography"/>
  </ds:schemaRefs>
</ds:datastoreItem>
</file>

<file path=customXml/itemProps3.xml><?xml version="1.0" encoding="utf-8"?>
<ds:datastoreItem xmlns:ds="http://schemas.openxmlformats.org/officeDocument/2006/customXml" ds:itemID="{3FC1688D-3BB8-4803-A770-0ECF80161F57}">
  <ds:schemaRefs>
    <ds:schemaRef ds:uri="http://schemas.microsoft.com/office/2006/metadata/properties"/>
    <ds:schemaRef ds:uri="http://schemas.microsoft.com/office/infopath/2007/PartnerControls"/>
    <ds:schemaRef ds:uri="5158ad91-305f-4e5a-b343-6ff76a3f54d4"/>
    <ds:schemaRef ds:uri="http://schemas.microsoft.com/sharepoint/v3"/>
    <ds:schemaRef ds:uri="720002b9-0f3e-4d9b-bf67-d6ce7b869a09"/>
  </ds:schemaRefs>
</ds:datastoreItem>
</file>

<file path=customXml/itemProps4.xml><?xml version="1.0" encoding="utf-8"?>
<ds:datastoreItem xmlns:ds="http://schemas.openxmlformats.org/officeDocument/2006/customXml" ds:itemID="{60A57AE4-3B4D-4FBD-9AC9-1862CBF45F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3824</Words>
  <Characters>21798</Characters>
  <Application>Microsoft Office Word</Application>
  <DocSecurity>4</DocSecurity>
  <Lines>181</Lines>
  <Paragraphs>51</Paragraphs>
  <ScaleCrop>false</ScaleCrop>
  <Company>NHS FIFE</Company>
  <LinksUpToDate>false</LinksUpToDate>
  <CharactersWithSpaces>25571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Traynor</dc:creator>
  <cp:keywords/>
  <dc:description/>
  <cp:lastModifiedBy>Lynsey Webster</cp:lastModifiedBy>
  <cp:revision>4</cp:revision>
  <cp:lastPrinted>2020-01-30T15:30:00Z</cp:lastPrinted>
  <dcterms:created xsi:type="dcterms:W3CDTF">2025-07-23T18:07:00Z</dcterms:created>
  <dcterms:modified xsi:type="dcterms:W3CDTF">2025-07-23T10:16:00Z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88800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ontentTypeId">
    <vt:lpwstr>0x01010033CB50744A573743A40C0C921A82BE97</vt:lpwstr>
  </property>
</Properties>
</file>