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tblGrid>
      <w:tr w:rsidR="00372D4C" w14:paraId="7D67C1EC" w14:textId="77777777" w:rsidTr="00C1208A">
        <w:tc>
          <w:tcPr>
            <w:tcW w:w="9179" w:type="dxa"/>
            <w:tcBorders>
              <w:top w:val="nil"/>
              <w:left w:val="nil"/>
              <w:bottom w:val="nil"/>
              <w:right w:val="nil"/>
            </w:tcBorders>
            <w:shd w:val="clear" w:color="auto" w:fill="auto"/>
          </w:tcPr>
          <w:p w14:paraId="221792CF" w14:textId="77777777" w:rsidR="00372D4C" w:rsidRPr="00C1208A" w:rsidRDefault="00D0323C" w:rsidP="00C1208A">
            <w:pPr>
              <w:tabs>
                <w:tab w:val="left" w:pos="2126"/>
              </w:tabs>
              <w:jc w:val="center"/>
              <w:rPr>
                <w:b/>
              </w:rPr>
            </w:pPr>
            <w:bookmarkStart w:id="0" w:name="_Hlk174720784"/>
            <w:bookmarkEnd w:id="0"/>
            <w:r w:rsidRPr="00C1208A">
              <w:rPr>
                <w:rFonts w:cs="Arial"/>
                <w:noProof/>
                <w:sz w:val="32"/>
                <w:szCs w:val="32"/>
              </w:rPr>
              <w:drawing>
                <wp:inline distT="0" distB="0" distL="0" distR="0" wp14:anchorId="725C334D" wp14:editId="5628FC32">
                  <wp:extent cx="2162175" cy="838200"/>
                  <wp:effectExtent l="0" t="0" r="9525" b="0"/>
                  <wp:docPr id="1" name="Picture 3"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amp;scp-logo-f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tc>
      </w:tr>
    </w:tbl>
    <w:p w14:paraId="108779D1" w14:textId="77777777" w:rsidR="002729D0" w:rsidRDefault="002729D0">
      <w:pPr>
        <w:tabs>
          <w:tab w:val="left" w:pos="2126"/>
        </w:tabs>
        <w:ind w:left="2126" w:hanging="2126"/>
        <w:jc w:val="both"/>
        <w:rPr>
          <w:b/>
        </w:rPr>
      </w:pPr>
    </w:p>
    <w:p w14:paraId="3858FCCD" w14:textId="77777777" w:rsidR="00372D4C" w:rsidRDefault="00372D4C" w:rsidP="005429D1">
      <w:pPr>
        <w:tabs>
          <w:tab w:val="left" w:pos="2126"/>
        </w:tabs>
        <w:jc w:val="both"/>
        <w:rPr>
          <w:b/>
        </w:rPr>
      </w:pPr>
    </w:p>
    <w:p w14:paraId="48E70EF3" w14:textId="280D795B" w:rsidR="00125CEB" w:rsidRPr="00DE4065" w:rsidRDefault="00125CEB">
      <w:pPr>
        <w:tabs>
          <w:tab w:val="left" w:pos="2126"/>
        </w:tabs>
        <w:ind w:left="2126" w:hanging="2126"/>
        <w:jc w:val="both"/>
        <w:rPr>
          <w:rFonts w:ascii="Arial" w:hAnsi="Arial" w:cs="Arial"/>
          <w:b/>
          <w:sz w:val="20"/>
          <w:szCs w:val="20"/>
        </w:rPr>
      </w:pPr>
      <w:r w:rsidRPr="00DE4065">
        <w:rPr>
          <w:rFonts w:ascii="Arial" w:hAnsi="Arial" w:cs="Arial"/>
          <w:b/>
          <w:sz w:val="20"/>
          <w:szCs w:val="20"/>
        </w:rPr>
        <w:t>REPORT TO:</w:t>
      </w:r>
      <w:r w:rsidRPr="00DE4065">
        <w:rPr>
          <w:rFonts w:ascii="Arial" w:hAnsi="Arial" w:cs="Arial"/>
          <w:b/>
          <w:sz w:val="20"/>
          <w:szCs w:val="20"/>
        </w:rPr>
        <w:tab/>
      </w:r>
      <w:r w:rsidR="00817930" w:rsidRPr="00DE4065">
        <w:rPr>
          <w:rFonts w:ascii="Arial" w:hAnsi="Arial" w:cs="Arial"/>
          <w:b/>
          <w:sz w:val="20"/>
          <w:szCs w:val="20"/>
        </w:rPr>
        <w:t>PERFORMANCE AND AUDIT COMMITTEE</w:t>
      </w:r>
      <w:r w:rsidR="00E8276C" w:rsidRPr="00DE4065">
        <w:rPr>
          <w:rFonts w:ascii="Arial" w:hAnsi="Arial" w:cs="Arial"/>
          <w:b/>
          <w:sz w:val="20"/>
          <w:szCs w:val="20"/>
        </w:rPr>
        <w:t xml:space="preserve"> </w:t>
      </w:r>
      <w:r w:rsidR="00AE318F" w:rsidRPr="00DE4065">
        <w:rPr>
          <w:rFonts w:ascii="Arial" w:hAnsi="Arial" w:cs="Arial"/>
          <w:b/>
          <w:sz w:val="20"/>
          <w:szCs w:val="20"/>
        </w:rPr>
        <w:t>–</w:t>
      </w:r>
      <w:r w:rsidR="00E8276C" w:rsidRPr="00DE4065">
        <w:rPr>
          <w:rFonts w:ascii="Arial" w:hAnsi="Arial" w:cs="Arial"/>
          <w:b/>
          <w:sz w:val="20"/>
          <w:szCs w:val="20"/>
        </w:rPr>
        <w:t xml:space="preserve"> </w:t>
      </w:r>
      <w:r w:rsidR="005E7EF5">
        <w:rPr>
          <w:rFonts w:ascii="Arial" w:hAnsi="Arial" w:cs="Arial"/>
          <w:b/>
          <w:sz w:val="20"/>
          <w:szCs w:val="20"/>
        </w:rPr>
        <w:t>29</w:t>
      </w:r>
      <w:r w:rsidR="00DE4065">
        <w:rPr>
          <w:rFonts w:ascii="Arial" w:hAnsi="Arial" w:cs="Arial"/>
          <w:b/>
          <w:sz w:val="20"/>
          <w:szCs w:val="20"/>
        </w:rPr>
        <w:t xml:space="preserve"> </w:t>
      </w:r>
      <w:r w:rsidR="005E7EF5">
        <w:rPr>
          <w:rFonts w:ascii="Arial" w:hAnsi="Arial" w:cs="Arial"/>
          <w:b/>
          <w:sz w:val="20"/>
          <w:szCs w:val="20"/>
        </w:rPr>
        <w:t>JANUARY</w:t>
      </w:r>
      <w:r w:rsidR="004418CB" w:rsidRPr="00DE4065">
        <w:rPr>
          <w:rFonts w:ascii="Arial" w:hAnsi="Arial" w:cs="Arial"/>
          <w:b/>
          <w:sz w:val="20"/>
          <w:szCs w:val="20"/>
        </w:rPr>
        <w:t xml:space="preserve"> 202</w:t>
      </w:r>
      <w:r w:rsidR="005E7EF5">
        <w:rPr>
          <w:rFonts w:ascii="Arial" w:hAnsi="Arial" w:cs="Arial"/>
          <w:b/>
          <w:sz w:val="20"/>
          <w:szCs w:val="20"/>
        </w:rPr>
        <w:t>5</w:t>
      </w:r>
    </w:p>
    <w:p w14:paraId="63356F3F" w14:textId="77777777" w:rsidR="00125CEB" w:rsidRPr="00DE4065" w:rsidRDefault="00580005">
      <w:pPr>
        <w:tabs>
          <w:tab w:val="left" w:pos="2126"/>
        </w:tabs>
        <w:ind w:left="2126" w:hanging="2126"/>
        <w:jc w:val="both"/>
        <w:rPr>
          <w:rFonts w:ascii="Arial" w:hAnsi="Arial" w:cs="Arial"/>
          <w:sz w:val="20"/>
          <w:szCs w:val="20"/>
        </w:rPr>
      </w:pPr>
      <w:r w:rsidRPr="00DE4065">
        <w:rPr>
          <w:rFonts w:ascii="Arial" w:hAnsi="Arial" w:cs="Arial"/>
          <w:b/>
          <w:sz w:val="20"/>
          <w:szCs w:val="20"/>
        </w:rPr>
        <w:tab/>
      </w:r>
    </w:p>
    <w:p w14:paraId="13F99E1A" w14:textId="374EAB6F" w:rsidR="00125CEB" w:rsidRPr="00DE4065" w:rsidRDefault="00125CEB">
      <w:pPr>
        <w:tabs>
          <w:tab w:val="left" w:pos="2126"/>
        </w:tabs>
        <w:ind w:left="2126" w:hanging="2126"/>
        <w:jc w:val="both"/>
        <w:rPr>
          <w:rFonts w:ascii="Arial" w:hAnsi="Arial" w:cs="Arial"/>
          <w:b/>
          <w:sz w:val="20"/>
          <w:szCs w:val="20"/>
        </w:rPr>
      </w:pPr>
      <w:r w:rsidRPr="00DE4065">
        <w:rPr>
          <w:rFonts w:ascii="Arial" w:hAnsi="Arial" w:cs="Arial"/>
          <w:b/>
          <w:sz w:val="20"/>
          <w:szCs w:val="20"/>
        </w:rPr>
        <w:t>REPORT ON:</w:t>
      </w:r>
      <w:r w:rsidRPr="00DE4065">
        <w:rPr>
          <w:rFonts w:ascii="Arial" w:hAnsi="Arial" w:cs="Arial"/>
          <w:b/>
          <w:sz w:val="20"/>
          <w:szCs w:val="20"/>
        </w:rPr>
        <w:tab/>
      </w:r>
      <w:r w:rsidR="00231E78" w:rsidRPr="00DE4065">
        <w:rPr>
          <w:rFonts w:ascii="Arial" w:hAnsi="Arial" w:cs="Arial"/>
          <w:b/>
          <w:bCs/>
          <w:sz w:val="20"/>
          <w:szCs w:val="20"/>
          <w:lang w:val="en-US"/>
        </w:rPr>
        <w:t>UNSCHEDULED CARE</w:t>
      </w:r>
      <w:r w:rsidR="00AB5333" w:rsidRPr="00DE4065">
        <w:rPr>
          <w:rFonts w:ascii="Arial" w:hAnsi="Arial" w:cs="Arial"/>
          <w:b/>
          <w:bCs/>
          <w:sz w:val="20"/>
          <w:szCs w:val="20"/>
          <w:lang w:val="en-US"/>
        </w:rPr>
        <w:t xml:space="preserve"> </w:t>
      </w:r>
    </w:p>
    <w:p w14:paraId="6A331998" w14:textId="77777777" w:rsidR="00125CEB" w:rsidRPr="00DE4065" w:rsidRDefault="00125CEB">
      <w:pPr>
        <w:tabs>
          <w:tab w:val="left" w:pos="2126"/>
        </w:tabs>
        <w:ind w:left="2126" w:hanging="2126"/>
        <w:jc w:val="both"/>
        <w:rPr>
          <w:rFonts w:ascii="Arial" w:hAnsi="Arial" w:cs="Arial"/>
          <w:sz w:val="20"/>
          <w:szCs w:val="20"/>
        </w:rPr>
      </w:pPr>
    </w:p>
    <w:p w14:paraId="4569C75E" w14:textId="77777777" w:rsidR="00125CEB" w:rsidRPr="00DE4065" w:rsidRDefault="00125CEB">
      <w:pPr>
        <w:tabs>
          <w:tab w:val="left" w:pos="2126"/>
        </w:tabs>
        <w:ind w:left="2126" w:hanging="2126"/>
        <w:jc w:val="both"/>
        <w:rPr>
          <w:rFonts w:ascii="Arial" w:hAnsi="Arial" w:cs="Arial"/>
          <w:b/>
          <w:sz w:val="20"/>
          <w:szCs w:val="20"/>
        </w:rPr>
      </w:pPr>
      <w:r w:rsidRPr="00DE4065">
        <w:rPr>
          <w:rFonts w:ascii="Arial" w:hAnsi="Arial" w:cs="Arial"/>
          <w:b/>
          <w:sz w:val="20"/>
          <w:szCs w:val="20"/>
        </w:rPr>
        <w:t>REPORT BY:</w:t>
      </w:r>
      <w:r w:rsidRPr="00DE4065">
        <w:rPr>
          <w:rFonts w:ascii="Arial" w:hAnsi="Arial" w:cs="Arial"/>
          <w:b/>
          <w:sz w:val="20"/>
          <w:szCs w:val="20"/>
        </w:rPr>
        <w:tab/>
      </w:r>
      <w:r w:rsidR="00580005" w:rsidRPr="00DE4065">
        <w:rPr>
          <w:rFonts w:ascii="Arial" w:hAnsi="Arial" w:cs="Arial"/>
          <w:b/>
          <w:sz w:val="20"/>
          <w:szCs w:val="20"/>
        </w:rPr>
        <w:t>CHIEF</w:t>
      </w:r>
      <w:r w:rsidR="00071CF9" w:rsidRPr="00DE4065">
        <w:rPr>
          <w:rFonts w:ascii="Arial" w:hAnsi="Arial" w:cs="Arial"/>
          <w:b/>
          <w:sz w:val="20"/>
          <w:szCs w:val="20"/>
        </w:rPr>
        <w:t xml:space="preserve"> FINANCE</w:t>
      </w:r>
      <w:r w:rsidR="00580005" w:rsidRPr="00DE4065">
        <w:rPr>
          <w:rFonts w:ascii="Arial" w:hAnsi="Arial" w:cs="Arial"/>
          <w:b/>
          <w:sz w:val="20"/>
          <w:szCs w:val="20"/>
        </w:rPr>
        <w:t xml:space="preserve"> OFFICER</w:t>
      </w:r>
    </w:p>
    <w:p w14:paraId="06123140" w14:textId="77777777" w:rsidR="00372D4C" w:rsidRPr="00DE4065" w:rsidRDefault="00372D4C">
      <w:pPr>
        <w:tabs>
          <w:tab w:val="left" w:pos="2126"/>
        </w:tabs>
        <w:ind w:left="2126" w:hanging="2126"/>
        <w:jc w:val="both"/>
        <w:rPr>
          <w:rFonts w:ascii="Arial" w:hAnsi="Arial" w:cs="Arial"/>
          <w:b/>
          <w:sz w:val="20"/>
          <w:szCs w:val="20"/>
        </w:rPr>
      </w:pPr>
    </w:p>
    <w:p w14:paraId="02F81E66" w14:textId="558E9D77" w:rsidR="00372D4C" w:rsidRPr="00DE4065" w:rsidRDefault="00372D4C">
      <w:pPr>
        <w:tabs>
          <w:tab w:val="left" w:pos="2126"/>
        </w:tabs>
        <w:ind w:left="2126" w:hanging="2126"/>
        <w:jc w:val="both"/>
        <w:rPr>
          <w:rFonts w:ascii="Arial" w:hAnsi="Arial" w:cs="Arial"/>
          <w:b/>
          <w:sz w:val="20"/>
          <w:szCs w:val="20"/>
        </w:rPr>
      </w:pPr>
      <w:r w:rsidRPr="00DE4065">
        <w:rPr>
          <w:rFonts w:ascii="Arial" w:hAnsi="Arial" w:cs="Arial"/>
          <w:b/>
          <w:sz w:val="20"/>
          <w:szCs w:val="20"/>
        </w:rPr>
        <w:t>REPORT NO:</w:t>
      </w:r>
      <w:r w:rsidRPr="00DE4065">
        <w:rPr>
          <w:rFonts w:ascii="Arial" w:hAnsi="Arial" w:cs="Arial"/>
          <w:b/>
          <w:sz w:val="20"/>
          <w:szCs w:val="20"/>
        </w:rPr>
        <w:tab/>
      </w:r>
      <w:r w:rsidR="001118D2" w:rsidRPr="00DE4065">
        <w:rPr>
          <w:rFonts w:ascii="Arial" w:hAnsi="Arial" w:cs="Arial"/>
          <w:b/>
          <w:sz w:val="20"/>
          <w:szCs w:val="20"/>
        </w:rPr>
        <w:t>PAC</w:t>
      </w:r>
      <w:r w:rsidR="005E7EF5" w:rsidRPr="005E7EF5">
        <w:rPr>
          <w:rFonts w:ascii="Arial" w:hAnsi="Arial" w:cs="Arial"/>
          <w:b/>
          <w:sz w:val="20"/>
          <w:szCs w:val="20"/>
          <w:highlight w:val="yellow"/>
        </w:rPr>
        <w:t>XX</w:t>
      </w:r>
      <w:r w:rsidR="004418CB" w:rsidRPr="00DE4065">
        <w:rPr>
          <w:rFonts w:ascii="Arial" w:hAnsi="Arial" w:cs="Arial"/>
          <w:b/>
          <w:sz w:val="20"/>
          <w:szCs w:val="20"/>
        </w:rPr>
        <w:t>-202</w:t>
      </w:r>
      <w:r w:rsidR="005E7EF5">
        <w:rPr>
          <w:rFonts w:ascii="Arial" w:hAnsi="Arial" w:cs="Arial"/>
          <w:b/>
          <w:sz w:val="20"/>
          <w:szCs w:val="20"/>
        </w:rPr>
        <w:t>5</w:t>
      </w:r>
    </w:p>
    <w:p w14:paraId="03B2E0BC" w14:textId="77777777" w:rsidR="003331EC" w:rsidRPr="00DE4065" w:rsidRDefault="003331EC">
      <w:pPr>
        <w:tabs>
          <w:tab w:val="left" w:pos="2126"/>
        </w:tabs>
        <w:ind w:left="2126" w:hanging="2126"/>
        <w:jc w:val="both"/>
        <w:rPr>
          <w:rFonts w:ascii="Arial" w:hAnsi="Arial" w:cs="Arial"/>
          <w:sz w:val="20"/>
          <w:szCs w:val="20"/>
        </w:rPr>
      </w:pPr>
    </w:p>
    <w:p w14:paraId="00645030" w14:textId="77777777" w:rsidR="00FC6BF1" w:rsidRPr="00DE4065" w:rsidRDefault="00FC6BF1">
      <w:pPr>
        <w:tabs>
          <w:tab w:val="left" w:pos="2126"/>
        </w:tabs>
        <w:ind w:left="2126" w:hanging="2126"/>
        <w:jc w:val="both"/>
        <w:rPr>
          <w:rFonts w:ascii="Arial" w:hAnsi="Arial" w:cs="Arial"/>
          <w:b/>
          <w:sz w:val="20"/>
          <w:szCs w:val="20"/>
        </w:rPr>
      </w:pPr>
    </w:p>
    <w:p w14:paraId="2364FB46" w14:textId="77777777" w:rsidR="003331EC" w:rsidRPr="00DE4065" w:rsidRDefault="003331EC" w:rsidP="00033F9D">
      <w:pPr>
        <w:autoSpaceDE w:val="0"/>
        <w:autoSpaceDN w:val="0"/>
        <w:adjustRightInd w:val="0"/>
        <w:ind w:left="709" w:hanging="709"/>
        <w:jc w:val="both"/>
        <w:rPr>
          <w:rFonts w:ascii="Arial" w:hAnsi="Arial" w:cs="Arial"/>
          <w:b/>
          <w:bCs/>
          <w:sz w:val="20"/>
          <w:szCs w:val="20"/>
          <w:lang w:val="en-US"/>
        </w:rPr>
      </w:pPr>
      <w:r w:rsidRPr="00DE4065">
        <w:rPr>
          <w:rFonts w:ascii="Arial" w:hAnsi="Arial" w:cs="Arial"/>
          <w:b/>
          <w:bCs/>
          <w:sz w:val="20"/>
          <w:szCs w:val="20"/>
          <w:lang w:val="en-US"/>
        </w:rPr>
        <w:t xml:space="preserve">1.0 </w:t>
      </w:r>
      <w:r w:rsidRPr="00DE4065">
        <w:rPr>
          <w:rFonts w:ascii="Arial" w:hAnsi="Arial" w:cs="Arial"/>
          <w:b/>
          <w:bCs/>
          <w:sz w:val="20"/>
          <w:szCs w:val="20"/>
          <w:lang w:val="en-US"/>
        </w:rPr>
        <w:tab/>
        <w:t>PURPOSE OF REPORT</w:t>
      </w:r>
    </w:p>
    <w:p w14:paraId="74087FB4" w14:textId="77777777" w:rsidR="003331EC" w:rsidRPr="00DE4065" w:rsidRDefault="003331EC" w:rsidP="00033F9D">
      <w:pPr>
        <w:autoSpaceDE w:val="0"/>
        <w:autoSpaceDN w:val="0"/>
        <w:adjustRightInd w:val="0"/>
        <w:ind w:left="709" w:hanging="709"/>
        <w:jc w:val="both"/>
        <w:rPr>
          <w:rFonts w:ascii="Arial" w:hAnsi="Arial" w:cs="Arial"/>
          <w:b/>
          <w:bCs/>
          <w:sz w:val="20"/>
          <w:szCs w:val="20"/>
          <w:lang w:val="en-US"/>
        </w:rPr>
      </w:pPr>
    </w:p>
    <w:p w14:paraId="0518046F" w14:textId="5E43C900" w:rsidR="008E5D24" w:rsidRPr="00DE4065" w:rsidRDefault="003331EC" w:rsidP="00033F9D">
      <w:pPr>
        <w:autoSpaceDE w:val="0"/>
        <w:autoSpaceDN w:val="0"/>
        <w:adjustRightInd w:val="0"/>
        <w:ind w:left="709" w:hanging="709"/>
        <w:jc w:val="both"/>
        <w:rPr>
          <w:rFonts w:ascii="Arial" w:hAnsi="Arial" w:cs="Arial"/>
          <w:bCs/>
          <w:sz w:val="20"/>
          <w:szCs w:val="20"/>
        </w:rPr>
      </w:pPr>
      <w:r w:rsidRPr="00DE4065">
        <w:rPr>
          <w:rFonts w:ascii="Arial" w:hAnsi="Arial" w:cs="Arial"/>
          <w:bCs/>
          <w:sz w:val="20"/>
          <w:szCs w:val="20"/>
          <w:lang w:val="en-US"/>
        </w:rPr>
        <w:t>1.1</w:t>
      </w:r>
      <w:r w:rsidRPr="00DE4065">
        <w:rPr>
          <w:rFonts w:ascii="Arial" w:hAnsi="Arial" w:cs="Arial"/>
          <w:b/>
          <w:bCs/>
          <w:sz w:val="20"/>
          <w:szCs w:val="20"/>
          <w:lang w:val="en-US"/>
        </w:rPr>
        <w:tab/>
      </w:r>
      <w:r w:rsidR="003E094C" w:rsidRPr="00DE4065">
        <w:rPr>
          <w:rFonts w:ascii="Arial" w:hAnsi="Arial" w:cs="Arial"/>
          <w:bCs/>
          <w:sz w:val="20"/>
          <w:szCs w:val="20"/>
        </w:rPr>
        <w:t xml:space="preserve">To provide an update to the Performance and Audit Committee on </w:t>
      </w:r>
      <w:r w:rsidR="00231E78" w:rsidRPr="00DE4065">
        <w:rPr>
          <w:rFonts w:ascii="Arial" w:hAnsi="Arial" w:cs="Arial"/>
          <w:bCs/>
          <w:sz w:val="20"/>
          <w:szCs w:val="20"/>
        </w:rPr>
        <w:t xml:space="preserve">Unscheduled Care Services and </w:t>
      </w:r>
      <w:r w:rsidR="003E094C" w:rsidRPr="00DE4065">
        <w:rPr>
          <w:rFonts w:ascii="Arial" w:hAnsi="Arial" w:cs="Arial"/>
          <w:bCs/>
          <w:sz w:val="20"/>
          <w:szCs w:val="20"/>
        </w:rPr>
        <w:t>Discharge Management performance in Dundee</w:t>
      </w:r>
      <w:r w:rsidR="008F28F2" w:rsidRPr="00DE4065">
        <w:rPr>
          <w:rFonts w:ascii="Arial" w:hAnsi="Arial" w:cs="Arial"/>
          <w:bCs/>
          <w:sz w:val="20"/>
          <w:szCs w:val="20"/>
        </w:rPr>
        <w:t>.</w:t>
      </w:r>
    </w:p>
    <w:p w14:paraId="056EBEB7" w14:textId="77777777" w:rsidR="003331EC" w:rsidRPr="00DE4065" w:rsidRDefault="003331EC" w:rsidP="00033F9D">
      <w:pPr>
        <w:autoSpaceDE w:val="0"/>
        <w:autoSpaceDN w:val="0"/>
        <w:adjustRightInd w:val="0"/>
        <w:ind w:left="709" w:hanging="709"/>
        <w:jc w:val="both"/>
        <w:rPr>
          <w:rFonts w:ascii="Arial" w:hAnsi="Arial" w:cs="Arial"/>
          <w:sz w:val="20"/>
          <w:szCs w:val="20"/>
          <w:lang w:val="en-US"/>
        </w:rPr>
      </w:pPr>
    </w:p>
    <w:p w14:paraId="0497224A" w14:textId="77777777" w:rsidR="003331EC" w:rsidRPr="00DE4065" w:rsidRDefault="003331EC" w:rsidP="00033F9D">
      <w:pPr>
        <w:autoSpaceDE w:val="0"/>
        <w:autoSpaceDN w:val="0"/>
        <w:adjustRightInd w:val="0"/>
        <w:ind w:left="709" w:hanging="709"/>
        <w:jc w:val="both"/>
        <w:rPr>
          <w:rFonts w:ascii="Arial" w:hAnsi="Arial" w:cs="Arial"/>
          <w:b/>
          <w:bCs/>
          <w:sz w:val="20"/>
          <w:szCs w:val="20"/>
          <w:lang w:val="en-US"/>
        </w:rPr>
      </w:pPr>
      <w:r w:rsidRPr="00DE4065">
        <w:rPr>
          <w:rFonts w:ascii="Arial" w:hAnsi="Arial" w:cs="Arial"/>
          <w:b/>
          <w:bCs/>
          <w:sz w:val="20"/>
          <w:szCs w:val="20"/>
          <w:lang w:val="en-US"/>
        </w:rPr>
        <w:t xml:space="preserve">2.0 </w:t>
      </w:r>
      <w:r w:rsidRPr="00DE4065">
        <w:rPr>
          <w:rFonts w:ascii="Arial" w:hAnsi="Arial" w:cs="Arial"/>
          <w:b/>
          <w:bCs/>
          <w:sz w:val="20"/>
          <w:szCs w:val="20"/>
          <w:lang w:val="en-US"/>
        </w:rPr>
        <w:tab/>
        <w:t>RECOMMENDATIONS</w:t>
      </w:r>
    </w:p>
    <w:p w14:paraId="350B2004" w14:textId="77777777" w:rsidR="003331EC" w:rsidRPr="00DE4065" w:rsidRDefault="003331EC" w:rsidP="00033F9D">
      <w:pPr>
        <w:autoSpaceDE w:val="0"/>
        <w:autoSpaceDN w:val="0"/>
        <w:adjustRightInd w:val="0"/>
        <w:ind w:left="709" w:hanging="709"/>
        <w:jc w:val="both"/>
        <w:rPr>
          <w:rFonts w:ascii="Arial" w:hAnsi="Arial" w:cs="Arial"/>
          <w:sz w:val="20"/>
          <w:szCs w:val="20"/>
          <w:lang w:val="en-US"/>
        </w:rPr>
      </w:pPr>
    </w:p>
    <w:p w14:paraId="06D7F699" w14:textId="77777777" w:rsidR="003331EC" w:rsidRPr="00DE4065" w:rsidRDefault="003331EC" w:rsidP="00033F9D">
      <w:pPr>
        <w:autoSpaceDE w:val="0"/>
        <w:autoSpaceDN w:val="0"/>
        <w:adjustRightInd w:val="0"/>
        <w:ind w:left="709" w:hanging="709"/>
        <w:jc w:val="both"/>
        <w:rPr>
          <w:rFonts w:ascii="Arial" w:hAnsi="Arial" w:cs="Arial"/>
          <w:sz w:val="20"/>
          <w:szCs w:val="20"/>
          <w:lang w:val="en-US"/>
        </w:rPr>
      </w:pPr>
      <w:r w:rsidRPr="00DE4065">
        <w:rPr>
          <w:rFonts w:ascii="Arial" w:hAnsi="Arial" w:cs="Arial"/>
          <w:sz w:val="20"/>
          <w:szCs w:val="20"/>
          <w:lang w:val="en-US"/>
        </w:rPr>
        <w:tab/>
        <w:t>It is recommended that t</w:t>
      </w:r>
      <w:r w:rsidR="00580005" w:rsidRPr="00DE4065">
        <w:rPr>
          <w:rFonts w:ascii="Arial" w:hAnsi="Arial" w:cs="Arial"/>
          <w:sz w:val="20"/>
          <w:szCs w:val="20"/>
          <w:lang w:val="en-US"/>
        </w:rPr>
        <w:t xml:space="preserve">he </w:t>
      </w:r>
      <w:r w:rsidR="00817930" w:rsidRPr="00DE4065">
        <w:rPr>
          <w:rFonts w:ascii="Arial" w:hAnsi="Arial" w:cs="Arial"/>
          <w:sz w:val="20"/>
          <w:szCs w:val="20"/>
          <w:lang w:val="en-US"/>
        </w:rPr>
        <w:t>Performance and Audit Committee</w:t>
      </w:r>
      <w:r w:rsidRPr="00DE4065">
        <w:rPr>
          <w:rFonts w:ascii="Arial" w:hAnsi="Arial" w:cs="Arial"/>
          <w:sz w:val="20"/>
          <w:szCs w:val="20"/>
          <w:lang w:val="en-US"/>
        </w:rPr>
        <w:t xml:space="preserve"> </w:t>
      </w:r>
      <w:r w:rsidR="00817930" w:rsidRPr="00DE4065">
        <w:rPr>
          <w:rFonts w:ascii="Arial" w:hAnsi="Arial" w:cs="Arial"/>
          <w:sz w:val="20"/>
          <w:szCs w:val="20"/>
          <w:lang w:val="en-US"/>
        </w:rPr>
        <w:t>(PAC</w:t>
      </w:r>
      <w:r w:rsidR="00AB5333" w:rsidRPr="00DE4065">
        <w:rPr>
          <w:rFonts w:ascii="Arial" w:hAnsi="Arial" w:cs="Arial"/>
          <w:sz w:val="20"/>
          <w:szCs w:val="20"/>
          <w:lang w:val="en-US"/>
        </w:rPr>
        <w:t>)</w:t>
      </w:r>
      <w:r w:rsidRPr="00DE4065">
        <w:rPr>
          <w:rFonts w:ascii="Arial" w:hAnsi="Arial" w:cs="Arial"/>
          <w:sz w:val="20"/>
          <w:szCs w:val="20"/>
          <w:lang w:val="en-US"/>
        </w:rPr>
        <w:t>:</w:t>
      </w:r>
    </w:p>
    <w:p w14:paraId="261C0774" w14:textId="77777777" w:rsidR="003331EC" w:rsidRPr="00DE4065" w:rsidRDefault="003331EC" w:rsidP="00033F9D">
      <w:pPr>
        <w:autoSpaceDE w:val="0"/>
        <w:autoSpaceDN w:val="0"/>
        <w:adjustRightInd w:val="0"/>
        <w:ind w:left="709" w:hanging="709"/>
        <w:jc w:val="both"/>
        <w:rPr>
          <w:rFonts w:ascii="Arial" w:hAnsi="Arial" w:cs="Arial"/>
          <w:sz w:val="20"/>
          <w:szCs w:val="20"/>
          <w:lang w:val="en-US"/>
        </w:rPr>
      </w:pPr>
    </w:p>
    <w:p w14:paraId="1C56A5A4" w14:textId="213A651F" w:rsidR="003E094C" w:rsidRPr="00DE4065" w:rsidRDefault="003331EC" w:rsidP="00033F9D">
      <w:pPr>
        <w:autoSpaceDE w:val="0"/>
        <w:autoSpaceDN w:val="0"/>
        <w:adjustRightInd w:val="0"/>
        <w:ind w:left="709" w:hanging="709"/>
        <w:jc w:val="both"/>
        <w:rPr>
          <w:rFonts w:ascii="Arial" w:hAnsi="Arial" w:cs="Arial"/>
          <w:sz w:val="20"/>
          <w:szCs w:val="20"/>
          <w:lang w:val="en-US"/>
        </w:rPr>
      </w:pPr>
      <w:r w:rsidRPr="00DE4065">
        <w:rPr>
          <w:rFonts w:ascii="Arial" w:hAnsi="Arial" w:cs="Arial"/>
          <w:sz w:val="20"/>
          <w:szCs w:val="20"/>
          <w:lang w:val="en-US"/>
        </w:rPr>
        <w:t>2.</w:t>
      </w:r>
      <w:r w:rsidR="00585A34" w:rsidRPr="00DE4065">
        <w:rPr>
          <w:rFonts w:ascii="Arial" w:hAnsi="Arial" w:cs="Arial"/>
          <w:sz w:val="20"/>
          <w:szCs w:val="20"/>
          <w:lang w:val="en-US"/>
        </w:rPr>
        <w:t>1</w:t>
      </w:r>
      <w:r w:rsidR="00163B91" w:rsidRPr="00DE4065">
        <w:rPr>
          <w:rFonts w:ascii="Arial" w:hAnsi="Arial" w:cs="Arial"/>
          <w:sz w:val="20"/>
          <w:szCs w:val="20"/>
        </w:rPr>
        <w:tab/>
      </w:r>
      <w:r w:rsidR="003E094C" w:rsidRPr="00DE4065">
        <w:rPr>
          <w:rFonts w:ascii="Arial" w:hAnsi="Arial" w:cs="Arial"/>
          <w:sz w:val="20"/>
          <w:szCs w:val="20"/>
          <w:lang w:val="en-US"/>
        </w:rPr>
        <w:t xml:space="preserve">Note the current position in relation to complex </w:t>
      </w:r>
      <w:r w:rsidR="2CA2AFF4" w:rsidRPr="00DE4065">
        <w:rPr>
          <w:rFonts w:ascii="Arial" w:hAnsi="Arial" w:cs="Arial"/>
          <w:sz w:val="20"/>
          <w:szCs w:val="20"/>
          <w:lang w:val="en-US"/>
        </w:rPr>
        <w:t>and standard d</w:t>
      </w:r>
      <w:r w:rsidR="003E094C" w:rsidRPr="00DE4065">
        <w:rPr>
          <w:rFonts w:ascii="Arial" w:hAnsi="Arial" w:cs="Arial"/>
          <w:sz w:val="20"/>
          <w:szCs w:val="20"/>
          <w:lang w:val="en-US"/>
        </w:rPr>
        <w:t>elays</w:t>
      </w:r>
      <w:r w:rsidR="00741512" w:rsidRPr="00DE4065">
        <w:rPr>
          <w:rFonts w:ascii="Arial" w:hAnsi="Arial" w:cs="Arial"/>
          <w:sz w:val="20"/>
          <w:szCs w:val="20"/>
          <w:lang w:val="en-US"/>
        </w:rPr>
        <w:t xml:space="preserve"> </w:t>
      </w:r>
      <w:r w:rsidR="003E094C" w:rsidRPr="00DE4065">
        <w:rPr>
          <w:rFonts w:ascii="Arial" w:hAnsi="Arial" w:cs="Arial"/>
          <w:sz w:val="20"/>
          <w:szCs w:val="20"/>
          <w:lang w:val="en-US"/>
        </w:rPr>
        <w:t>as outline</w:t>
      </w:r>
      <w:r w:rsidR="00A12B25" w:rsidRPr="00DE4065">
        <w:rPr>
          <w:rFonts w:ascii="Arial" w:hAnsi="Arial" w:cs="Arial"/>
          <w:sz w:val="20"/>
          <w:szCs w:val="20"/>
          <w:lang w:val="en-US"/>
        </w:rPr>
        <w:t xml:space="preserve">d in </w:t>
      </w:r>
      <w:r w:rsidR="00741512" w:rsidRPr="00CF4F67">
        <w:rPr>
          <w:rFonts w:ascii="Arial" w:hAnsi="Arial" w:cs="Arial"/>
          <w:sz w:val="20"/>
          <w:szCs w:val="20"/>
          <w:lang w:val="en-US"/>
        </w:rPr>
        <w:t>section</w:t>
      </w:r>
      <w:r w:rsidR="00CF4F67" w:rsidRPr="00CF4F67">
        <w:rPr>
          <w:rFonts w:ascii="Arial" w:hAnsi="Arial" w:cs="Arial"/>
          <w:sz w:val="20"/>
          <w:szCs w:val="20"/>
          <w:lang w:val="en-US"/>
        </w:rPr>
        <w:t>s</w:t>
      </w:r>
      <w:r w:rsidR="00A12B25" w:rsidRPr="00CF4F67">
        <w:rPr>
          <w:rFonts w:ascii="Arial" w:hAnsi="Arial" w:cs="Arial"/>
          <w:sz w:val="20"/>
          <w:szCs w:val="20"/>
          <w:lang w:val="en-US"/>
        </w:rPr>
        <w:t xml:space="preserve"> </w:t>
      </w:r>
      <w:r w:rsidR="00CF4F67" w:rsidRPr="00CF4F67">
        <w:rPr>
          <w:rFonts w:ascii="Arial" w:hAnsi="Arial" w:cs="Arial"/>
          <w:sz w:val="20"/>
          <w:szCs w:val="20"/>
          <w:lang w:val="en-US"/>
        </w:rPr>
        <w:t>5-8</w:t>
      </w:r>
      <w:r w:rsidR="008F28F2" w:rsidRPr="00CF4F67">
        <w:rPr>
          <w:rFonts w:ascii="Arial" w:hAnsi="Arial" w:cs="Arial"/>
          <w:sz w:val="20"/>
          <w:szCs w:val="20"/>
          <w:lang w:val="en-US"/>
        </w:rPr>
        <w:t>.</w:t>
      </w:r>
    </w:p>
    <w:p w14:paraId="431D3668" w14:textId="77777777" w:rsidR="003E094C" w:rsidRPr="00DE4065" w:rsidRDefault="003E094C" w:rsidP="00033F9D">
      <w:pPr>
        <w:autoSpaceDE w:val="0"/>
        <w:autoSpaceDN w:val="0"/>
        <w:adjustRightInd w:val="0"/>
        <w:ind w:left="709" w:hanging="709"/>
        <w:jc w:val="both"/>
        <w:rPr>
          <w:rFonts w:ascii="Arial" w:hAnsi="Arial" w:cs="Arial"/>
          <w:sz w:val="20"/>
          <w:szCs w:val="20"/>
          <w:lang w:val="en-US"/>
        </w:rPr>
      </w:pPr>
    </w:p>
    <w:p w14:paraId="52BD059A" w14:textId="6A60E2CD" w:rsidR="004654D5" w:rsidRPr="00CF4F67" w:rsidRDefault="00585A34" w:rsidP="004654D5">
      <w:pPr>
        <w:autoSpaceDE w:val="0"/>
        <w:autoSpaceDN w:val="0"/>
        <w:adjustRightInd w:val="0"/>
        <w:ind w:left="709" w:hanging="709"/>
        <w:jc w:val="both"/>
        <w:rPr>
          <w:rFonts w:ascii="Arial" w:hAnsi="Arial" w:cs="Arial"/>
          <w:sz w:val="20"/>
          <w:szCs w:val="20"/>
          <w:lang w:val="en-US"/>
        </w:rPr>
      </w:pPr>
      <w:r w:rsidRPr="00DE4065">
        <w:rPr>
          <w:rFonts w:ascii="Arial" w:hAnsi="Arial" w:cs="Arial"/>
          <w:sz w:val="20"/>
          <w:szCs w:val="20"/>
          <w:lang w:val="en-US"/>
        </w:rPr>
        <w:t>2.2</w:t>
      </w:r>
      <w:r w:rsidR="003E094C" w:rsidRPr="00DE4065">
        <w:rPr>
          <w:rFonts w:ascii="Arial" w:hAnsi="Arial" w:cs="Arial"/>
          <w:sz w:val="20"/>
          <w:szCs w:val="20"/>
        </w:rPr>
        <w:tab/>
      </w:r>
      <w:r w:rsidR="003E094C" w:rsidRPr="00CF4F67">
        <w:rPr>
          <w:rFonts w:ascii="Arial" w:hAnsi="Arial" w:cs="Arial"/>
          <w:sz w:val="20"/>
          <w:szCs w:val="20"/>
          <w:lang w:val="en-US"/>
        </w:rPr>
        <w:t xml:space="preserve">Note the improvement actions planned to respond to areas of pressure </w:t>
      </w:r>
      <w:r w:rsidR="008F28F2" w:rsidRPr="00CF4F67">
        <w:rPr>
          <w:rFonts w:ascii="Arial" w:hAnsi="Arial" w:cs="Arial"/>
          <w:sz w:val="20"/>
          <w:szCs w:val="20"/>
          <w:lang w:val="en-US"/>
        </w:rPr>
        <w:t xml:space="preserve">as outlined in section </w:t>
      </w:r>
      <w:r w:rsidR="00CF4F67" w:rsidRPr="00CF4F67">
        <w:rPr>
          <w:rFonts w:ascii="Arial" w:hAnsi="Arial" w:cs="Arial"/>
          <w:sz w:val="20"/>
          <w:szCs w:val="20"/>
          <w:lang w:val="en-US"/>
        </w:rPr>
        <w:t>9</w:t>
      </w:r>
    </w:p>
    <w:p w14:paraId="388CCC46" w14:textId="77777777" w:rsidR="003331EC" w:rsidRPr="00DE4065" w:rsidRDefault="003331EC" w:rsidP="00033F9D">
      <w:pPr>
        <w:autoSpaceDE w:val="0"/>
        <w:autoSpaceDN w:val="0"/>
        <w:adjustRightInd w:val="0"/>
        <w:ind w:left="709" w:hanging="709"/>
        <w:jc w:val="both"/>
        <w:rPr>
          <w:rFonts w:ascii="Arial" w:hAnsi="Arial" w:cs="Arial"/>
          <w:sz w:val="20"/>
          <w:szCs w:val="20"/>
          <w:lang w:val="en-US"/>
        </w:rPr>
      </w:pPr>
    </w:p>
    <w:p w14:paraId="0C855F6B" w14:textId="77777777" w:rsidR="003331EC" w:rsidRPr="00DE4065" w:rsidRDefault="008F28F2" w:rsidP="00033F9D">
      <w:pPr>
        <w:autoSpaceDE w:val="0"/>
        <w:autoSpaceDN w:val="0"/>
        <w:adjustRightInd w:val="0"/>
        <w:ind w:left="709" w:hanging="709"/>
        <w:jc w:val="both"/>
        <w:rPr>
          <w:rFonts w:ascii="Arial" w:hAnsi="Arial" w:cs="Arial"/>
          <w:b/>
          <w:bCs/>
          <w:sz w:val="20"/>
          <w:szCs w:val="20"/>
          <w:lang w:val="en-US"/>
        </w:rPr>
      </w:pPr>
      <w:r w:rsidRPr="00DE4065">
        <w:rPr>
          <w:rFonts w:ascii="Arial" w:hAnsi="Arial" w:cs="Arial"/>
          <w:b/>
          <w:bCs/>
          <w:sz w:val="20"/>
          <w:szCs w:val="20"/>
          <w:lang w:val="en-US"/>
        </w:rPr>
        <w:t>3.0</w:t>
      </w:r>
      <w:r w:rsidR="003331EC" w:rsidRPr="00DE4065">
        <w:rPr>
          <w:rFonts w:ascii="Arial" w:hAnsi="Arial" w:cs="Arial"/>
          <w:b/>
          <w:bCs/>
          <w:sz w:val="20"/>
          <w:szCs w:val="20"/>
          <w:lang w:val="en-US"/>
        </w:rPr>
        <w:tab/>
        <w:t>FINANCIAL IMPLICATIONS</w:t>
      </w:r>
    </w:p>
    <w:p w14:paraId="73AA3202" w14:textId="77777777" w:rsidR="003331EC" w:rsidRPr="00DE4065" w:rsidRDefault="003331EC" w:rsidP="00033F9D">
      <w:pPr>
        <w:autoSpaceDE w:val="0"/>
        <w:autoSpaceDN w:val="0"/>
        <w:adjustRightInd w:val="0"/>
        <w:ind w:left="709" w:hanging="709"/>
        <w:jc w:val="both"/>
        <w:rPr>
          <w:rFonts w:ascii="Arial" w:hAnsi="Arial" w:cs="Arial"/>
          <w:sz w:val="20"/>
          <w:szCs w:val="20"/>
          <w:lang w:val="en-US"/>
        </w:rPr>
      </w:pPr>
    </w:p>
    <w:p w14:paraId="634D6206" w14:textId="77777777" w:rsidR="00A0255D" w:rsidRPr="00DE4065" w:rsidRDefault="008F28F2" w:rsidP="004654D5">
      <w:pPr>
        <w:autoSpaceDE w:val="0"/>
        <w:autoSpaceDN w:val="0"/>
        <w:adjustRightInd w:val="0"/>
        <w:ind w:left="709" w:hanging="720"/>
        <w:jc w:val="both"/>
        <w:rPr>
          <w:rFonts w:ascii="Arial" w:hAnsi="Arial" w:cs="Arial"/>
          <w:sz w:val="20"/>
          <w:szCs w:val="20"/>
          <w:lang w:val="en-US"/>
        </w:rPr>
      </w:pPr>
      <w:r w:rsidRPr="00DE4065">
        <w:rPr>
          <w:rFonts w:ascii="Arial" w:hAnsi="Arial" w:cs="Arial"/>
          <w:sz w:val="20"/>
          <w:szCs w:val="20"/>
          <w:lang w:val="en-US"/>
        </w:rPr>
        <w:t>3.1</w:t>
      </w:r>
      <w:r w:rsidRPr="00DE4065">
        <w:rPr>
          <w:rFonts w:ascii="Arial" w:hAnsi="Arial" w:cs="Arial"/>
          <w:sz w:val="20"/>
          <w:szCs w:val="20"/>
          <w:lang w:val="en-US"/>
        </w:rPr>
        <w:tab/>
      </w:r>
      <w:r w:rsidR="004654D5" w:rsidRPr="00DE4065">
        <w:rPr>
          <w:rFonts w:ascii="Arial" w:hAnsi="Arial" w:cs="Arial"/>
          <w:bCs/>
          <w:sz w:val="20"/>
          <w:szCs w:val="20"/>
          <w:lang w:val="en-US"/>
        </w:rPr>
        <w:t>None</w:t>
      </w:r>
      <w:r w:rsidRPr="00DE4065">
        <w:rPr>
          <w:rFonts w:ascii="Arial" w:hAnsi="Arial" w:cs="Arial"/>
          <w:bCs/>
          <w:sz w:val="20"/>
          <w:szCs w:val="20"/>
          <w:lang w:val="en-US"/>
        </w:rPr>
        <w:t>.</w:t>
      </w:r>
    </w:p>
    <w:p w14:paraId="2AB65E37" w14:textId="77777777" w:rsidR="004654D5" w:rsidRPr="00DE4065" w:rsidRDefault="004654D5" w:rsidP="003331EC">
      <w:pPr>
        <w:tabs>
          <w:tab w:val="left" w:pos="993"/>
        </w:tabs>
        <w:autoSpaceDE w:val="0"/>
        <w:autoSpaceDN w:val="0"/>
        <w:adjustRightInd w:val="0"/>
        <w:ind w:left="993" w:hanging="993"/>
        <w:jc w:val="both"/>
        <w:rPr>
          <w:rFonts w:ascii="Arial" w:hAnsi="Arial" w:cs="Arial"/>
          <w:sz w:val="20"/>
          <w:szCs w:val="20"/>
          <w:lang w:val="en-US"/>
        </w:rPr>
      </w:pPr>
    </w:p>
    <w:p w14:paraId="31493C3F" w14:textId="77777777" w:rsidR="003331EC" w:rsidRPr="00DE4065" w:rsidRDefault="00B30B93" w:rsidP="00033F9D">
      <w:pPr>
        <w:autoSpaceDE w:val="0"/>
        <w:autoSpaceDN w:val="0"/>
        <w:adjustRightInd w:val="0"/>
        <w:ind w:left="709" w:hanging="720"/>
        <w:jc w:val="both"/>
        <w:rPr>
          <w:rFonts w:ascii="Arial" w:hAnsi="Arial" w:cs="Arial"/>
          <w:sz w:val="20"/>
          <w:szCs w:val="20"/>
          <w:lang w:val="en-US"/>
        </w:rPr>
      </w:pPr>
      <w:r w:rsidRPr="00DE4065">
        <w:rPr>
          <w:rFonts w:ascii="Arial" w:hAnsi="Arial" w:cs="Arial"/>
          <w:b/>
          <w:bCs/>
          <w:sz w:val="20"/>
          <w:szCs w:val="20"/>
          <w:lang w:val="en-US"/>
        </w:rPr>
        <w:t>4.0</w:t>
      </w:r>
      <w:r w:rsidRPr="00DE4065">
        <w:rPr>
          <w:rFonts w:ascii="Arial" w:hAnsi="Arial" w:cs="Arial"/>
          <w:b/>
          <w:bCs/>
          <w:sz w:val="20"/>
          <w:szCs w:val="20"/>
          <w:lang w:val="en-US"/>
        </w:rPr>
        <w:tab/>
      </w:r>
      <w:r w:rsidR="003331EC" w:rsidRPr="00DE4065">
        <w:rPr>
          <w:rFonts w:ascii="Arial" w:hAnsi="Arial" w:cs="Arial"/>
          <w:b/>
          <w:bCs/>
          <w:sz w:val="20"/>
          <w:szCs w:val="20"/>
          <w:lang w:val="en-US"/>
        </w:rPr>
        <w:t>MAIN TEXT</w:t>
      </w:r>
    </w:p>
    <w:p w14:paraId="619915AD" w14:textId="77777777" w:rsidR="003331EC" w:rsidRPr="00DE4065" w:rsidRDefault="003331EC" w:rsidP="00033F9D">
      <w:pPr>
        <w:autoSpaceDE w:val="0"/>
        <w:autoSpaceDN w:val="0"/>
        <w:adjustRightInd w:val="0"/>
        <w:ind w:left="709" w:hanging="720"/>
        <w:jc w:val="both"/>
        <w:rPr>
          <w:rFonts w:ascii="Arial" w:hAnsi="Arial" w:cs="Arial"/>
          <w:sz w:val="20"/>
          <w:szCs w:val="20"/>
          <w:lang w:val="en-US"/>
        </w:rPr>
      </w:pPr>
    </w:p>
    <w:p w14:paraId="48E1710D" w14:textId="77777777" w:rsidR="003331EC" w:rsidRPr="00DE4065" w:rsidRDefault="003331EC" w:rsidP="00033F9D">
      <w:pPr>
        <w:autoSpaceDE w:val="0"/>
        <w:autoSpaceDN w:val="0"/>
        <w:adjustRightInd w:val="0"/>
        <w:ind w:left="709" w:hanging="720"/>
        <w:jc w:val="both"/>
        <w:rPr>
          <w:rFonts w:ascii="Arial" w:hAnsi="Arial" w:cs="Arial"/>
          <w:bCs/>
          <w:sz w:val="20"/>
          <w:szCs w:val="20"/>
          <w:lang w:val="en-US"/>
        </w:rPr>
      </w:pPr>
      <w:r w:rsidRPr="00DE4065">
        <w:rPr>
          <w:rFonts w:ascii="Arial" w:hAnsi="Arial" w:cs="Arial"/>
          <w:bCs/>
          <w:sz w:val="20"/>
          <w:szCs w:val="20"/>
          <w:lang w:val="en-US"/>
        </w:rPr>
        <w:t>4.1</w:t>
      </w:r>
      <w:r w:rsidRPr="00DE4065">
        <w:rPr>
          <w:rFonts w:ascii="Arial" w:hAnsi="Arial" w:cs="Arial"/>
          <w:b/>
          <w:bCs/>
          <w:sz w:val="20"/>
          <w:szCs w:val="20"/>
          <w:lang w:val="en-US"/>
        </w:rPr>
        <w:tab/>
      </w:r>
      <w:r w:rsidR="00C65CB5" w:rsidRPr="00DE4065">
        <w:rPr>
          <w:rFonts w:ascii="Arial" w:hAnsi="Arial" w:cs="Arial"/>
          <w:b/>
          <w:bCs/>
          <w:sz w:val="20"/>
          <w:szCs w:val="20"/>
          <w:lang w:val="en-US"/>
        </w:rPr>
        <w:t>Background to Discharge Management</w:t>
      </w:r>
      <w:r w:rsidRPr="00DE4065">
        <w:rPr>
          <w:rFonts w:ascii="Arial" w:hAnsi="Arial" w:cs="Arial"/>
          <w:b/>
          <w:bCs/>
          <w:sz w:val="20"/>
          <w:szCs w:val="20"/>
          <w:lang w:val="en-US"/>
        </w:rPr>
        <w:t xml:space="preserve"> </w:t>
      </w:r>
    </w:p>
    <w:p w14:paraId="0BBAEC72" w14:textId="77777777" w:rsidR="003331EC" w:rsidRPr="00DE4065" w:rsidRDefault="003331EC" w:rsidP="00033F9D">
      <w:pPr>
        <w:autoSpaceDE w:val="0"/>
        <w:autoSpaceDN w:val="0"/>
        <w:adjustRightInd w:val="0"/>
        <w:ind w:left="709" w:hanging="720"/>
        <w:jc w:val="both"/>
        <w:rPr>
          <w:rFonts w:ascii="Arial" w:hAnsi="Arial" w:cs="Arial"/>
          <w:bCs/>
          <w:sz w:val="20"/>
          <w:szCs w:val="20"/>
          <w:lang w:val="en-US"/>
        </w:rPr>
      </w:pPr>
    </w:p>
    <w:p w14:paraId="1D0D9A66" w14:textId="67F933F1" w:rsidR="00E21F54" w:rsidRPr="00DE4065" w:rsidRDefault="00B30B93" w:rsidP="00033F9D">
      <w:pPr>
        <w:autoSpaceDE w:val="0"/>
        <w:autoSpaceDN w:val="0"/>
        <w:adjustRightInd w:val="0"/>
        <w:ind w:left="709" w:hanging="720"/>
        <w:jc w:val="both"/>
        <w:rPr>
          <w:rFonts w:ascii="Arial" w:hAnsi="Arial" w:cs="Arial"/>
          <w:bCs/>
          <w:sz w:val="20"/>
          <w:szCs w:val="20"/>
          <w:lang w:val="en-US"/>
        </w:rPr>
      </w:pPr>
      <w:r w:rsidRPr="00DE4065">
        <w:rPr>
          <w:rFonts w:ascii="Arial" w:hAnsi="Arial" w:cs="Arial"/>
          <w:bCs/>
          <w:sz w:val="20"/>
          <w:szCs w:val="20"/>
          <w:lang w:val="en-US"/>
        </w:rPr>
        <w:t>4.1.1</w:t>
      </w:r>
      <w:r w:rsidRPr="00DE4065">
        <w:rPr>
          <w:rFonts w:ascii="Arial" w:hAnsi="Arial" w:cs="Arial"/>
          <w:bCs/>
          <w:sz w:val="20"/>
          <w:szCs w:val="20"/>
          <w:lang w:val="en-US"/>
        </w:rPr>
        <w:tab/>
      </w:r>
      <w:r w:rsidR="00E21F54" w:rsidRPr="00DE4065">
        <w:rPr>
          <w:rFonts w:ascii="Arial" w:hAnsi="Arial" w:cs="Arial"/>
          <w:bCs/>
          <w:sz w:val="20"/>
          <w:szCs w:val="20"/>
          <w:lang w:val="en-US"/>
        </w:rPr>
        <w:t xml:space="preserve">A delayed discharge </w:t>
      </w:r>
      <w:r w:rsidR="00DE4065">
        <w:rPr>
          <w:rFonts w:ascii="Arial" w:hAnsi="Arial" w:cs="Arial"/>
          <w:bCs/>
          <w:sz w:val="20"/>
          <w:szCs w:val="20"/>
          <w:lang w:val="en-US"/>
        </w:rPr>
        <w:t>refers to</w:t>
      </w:r>
      <w:r w:rsidR="00E21F54" w:rsidRPr="00DE4065">
        <w:rPr>
          <w:rFonts w:ascii="Arial" w:hAnsi="Arial" w:cs="Arial"/>
          <w:bCs/>
          <w:sz w:val="20"/>
          <w:szCs w:val="20"/>
          <w:lang w:val="en-US"/>
        </w:rPr>
        <w:t xml:space="preserve"> a hospital inpatient who is clini</w:t>
      </w:r>
      <w:r w:rsidR="001A4C5A" w:rsidRPr="00DE4065">
        <w:rPr>
          <w:rFonts w:ascii="Arial" w:hAnsi="Arial" w:cs="Arial"/>
          <w:bCs/>
          <w:sz w:val="20"/>
          <w:szCs w:val="20"/>
          <w:lang w:val="en-US"/>
        </w:rPr>
        <w:t xml:space="preserve">cally ready for discharge from </w:t>
      </w:r>
      <w:r w:rsidR="00E21F54" w:rsidRPr="00DE4065">
        <w:rPr>
          <w:rFonts w:ascii="Arial" w:hAnsi="Arial" w:cs="Arial"/>
          <w:bCs/>
          <w:sz w:val="20"/>
          <w:szCs w:val="20"/>
          <w:lang w:val="en-US"/>
        </w:rPr>
        <w:t>inpatient hospital care and who continues to occupy a ho</w:t>
      </w:r>
      <w:r w:rsidR="001A4C5A" w:rsidRPr="00DE4065">
        <w:rPr>
          <w:rFonts w:ascii="Arial" w:hAnsi="Arial" w:cs="Arial"/>
          <w:bCs/>
          <w:sz w:val="20"/>
          <w:szCs w:val="20"/>
          <w:lang w:val="en-US"/>
        </w:rPr>
        <w:t xml:space="preserve">spital bed beyond the ready for </w:t>
      </w:r>
      <w:r w:rsidR="00E21F54" w:rsidRPr="00DE4065">
        <w:rPr>
          <w:rFonts w:ascii="Arial" w:hAnsi="Arial" w:cs="Arial"/>
          <w:bCs/>
          <w:sz w:val="20"/>
          <w:szCs w:val="20"/>
          <w:lang w:val="en-US"/>
        </w:rPr>
        <w:t>discharge date (</w:t>
      </w:r>
      <w:r w:rsidR="00415D28" w:rsidRPr="00DE4065">
        <w:rPr>
          <w:rFonts w:ascii="Arial" w:hAnsi="Arial" w:cs="Arial"/>
          <w:bCs/>
          <w:sz w:val="20"/>
          <w:szCs w:val="20"/>
          <w:lang w:val="en-US"/>
        </w:rPr>
        <w:t>Public Health Scotland</w:t>
      </w:r>
      <w:r w:rsidR="00E21F54" w:rsidRPr="00DE4065">
        <w:rPr>
          <w:rFonts w:ascii="Arial" w:hAnsi="Arial" w:cs="Arial"/>
          <w:bCs/>
          <w:sz w:val="20"/>
          <w:szCs w:val="20"/>
          <w:lang w:val="en-US"/>
        </w:rPr>
        <w:t xml:space="preserve"> Delayed Discharges Definitions and Data Recording Manual)</w:t>
      </w:r>
      <w:r w:rsidR="001A4C5A" w:rsidRPr="00DE4065">
        <w:rPr>
          <w:rFonts w:ascii="Arial" w:hAnsi="Arial" w:cs="Arial"/>
          <w:bCs/>
          <w:sz w:val="20"/>
          <w:szCs w:val="20"/>
          <w:lang w:val="en-US"/>
        </w:rPr>
        <w:t>.</w:t>
      </w:r>
    </w:p>
    <w:p w14:paraId="2DE8EB63" w14:textId="77777777" w:rsidR="00E21F54" w:rsidRPr="00DE4065" w:rsidRDefault="00E21F54" w:rsidP="00033F9D">
      <w:pPr>
        <w:autoSpaceDE w:val="0"/>
        <w:autoSpaceDN w:val="0"/>
        <w:adjustRightInd w:val="0"/>
        <w:ind w:left="709" w:hanging="720"/>
        <w:jc w:val="both"/>
        <w:rPr>
          <w:rFonts w:ascii="Arial" w:hAnsi="Arial" w:cs="Arial"/>
          <w:bCs/>
          <w:sz w:val="20"/>
          <w:szCs w:val="20"/>
          <w:lang w:val="en-US"/>
        </w:rPr>
      </w:pPr>
    </w:p>
    <w:p w14:paraId="5B9AEE82" w14:textId="77777777" w:rsidR="00AA0F0C" w:rsidRPr="00DE4065" w:rsidRDefault="00C65CB5" w:rsidP="00033F9D">
      <w:pPr>
        <w:autoSpaceDE w:val="0"/>
        <w:autoSpaceDN w:val="0"/>
        <w:adjustRightInd w:val="0"/>
        <w:ind w:left="709" w:hanging="720"/>
        <w:jc w:val="both"/>
        <w:rPr>
          <w:rFonts w:ascii="Arial" w:hAnsi="Arial" w:cs="Arial"/>
          <w:bCs/>
          <w:sz w:val="20"/>
          <w:szCs w:val="20"/>
          <w:lang w:val="en-US"/>
        </w:rPr>
      </w:pPr>
      <w:r w:rsidRPr="00DE4065">
        <w:rPr>
          <w:rFonts w:ascii="Arial" w:hAnsi="Arial" w:cs="Arial"/>
          <w:bCs/>
          <w:sz w:val="20"/>
          <w:szCs w:val="20"/>
          <w:lang w:val="en-US"/>
        </w:rPr>
        <w:t>4.1.2</w:t>
      </w:r>
      <w:r w:rsidRPr="00DE4065">
        <w:rPr>
          <w:rFonts w:ascii="Arial" w:hAnsi="Arial" w:cs="Arial"/>
          <w:bCs/>
          <w:sz w:val="20"/>
          <w:szCs w:val="20"/>
          <w:lang w:val="en-US"/>
        </w:rPr>
        <w:tab/>
      </w:r>
      <w:r w:rsidR="00AA0F0C" w:rsidRPr="00DE4065">
        <w:rPr>
          <w:rFonts w:ascii="Arial" w:hAnsi="Arial" w:cs="Arial"/>
          <w:bCs/>
          <w:sz w:val="20"/>
          <w:szCs w:val="20"/>
          <w:lang w:val="en-US"/>
        </w:rPr>
        <w:t>The focus on effective discharge management is reflected through the National Health an</w:t>
      </w:r>
      <w:r w:rsidR="001A4C5A" w:rsidRPr="00DE4065">
        <w:rPr>
          <w:rFonts w:ascii="Arial" w:hAnsi="Arial" w:cs="Arial"/>
          <w:bCs/>
          <w:sz w:val="20"/>
          <w:szCs w:val="20"/>
          <w:lang w:val="en-US"/>
        </w:rPr>
        <w:t xml:space="preserve">d Wellbeing Outcomes and </w:t>
      </w:r>
      <w:r w:rsidR="004654D5" w:rsidRPr="00DE4065">
        <w:rPr>
          <w:rFonts w:ascii="Arial" w:hAnsi="Arial" w:cs="Arial"/>
          <w:bCs/>
          <w:sz w:val="20"/>
          <w:szCs w:val="20"/>
          <w:lang w:val="en-US"/>
        </w:rPr>
        <w:t>associated</w:t>
      </w:r>
      <w:r w:rsidR="001A4C5A" w:rsidRPr="00DE4065">
        <w:rPr>
          <w:rFonts w:ascii="Arial" w:hAnsi="Arial" w:cs="Arial"/>
          <w:bCs/>
          <w:sz w:val="20"/>
          <w:szCs w:val="20"/>
          <w:lang w:val="en-US"/>
        </w:rPr>
        <w:t xml:space="preserve"> i</w:t>
      </w:r>
      <w:r w:rsidR="00AA0F0C" w:rsidRPr="00DE4065">
        <w:rPr>
          <w:rFonts w:ascii="Arial" w:hAnsi="Arial" w:cs="Arial"/>
          <w:bCs/>
          <w:sz w:val="20"/>
          <w:szCs w:val="20"/>
          <w:lang w:val="en-US"/>
        </w:rPr>
        <w:t>ndicators.</w:t>
      </w:r>
      <w:r w:rsidR="00805D7B" w:rsidRPr="00DE4065">
        <w:rPr>
          <w:rFonts w:ascii="Arial" w:hAnsi="Arial" w:cs="Arial"/>
          <w:bCs/>
          <w:sz w:val="20"/>
          <w:szCs w:val="20"/>
          <w:lang w:val="en-US"/>
        </w:rPr>
        <w:t xml:space="preserve"> </w:t>
      </w:r>
      <w:r w:rsidR="00AA0F0C" w:rsidRPr="00DE4065">
        <w:rPr>
          <w:rFonts w:ascii="Arial" w:hAnsi="Arial" w:cs="Arial"/>
          <w:bCs/>
          <w:sz w:val="20"/>
          <w:szCs w:val="20"/>
          <w:lang w:val="en-US"/>
        </w:rPr>
        <w:t xml:space="preserve"> There are two indicators that relate directly to effective discharge management: </w:t>
      </w:r>
    </w:p>
    <w:p w14:paraId="61BCDE3F" w14:textId="77777777" w:rsidR="00AA0F0C" w:rsidRPr="00DE4065" w:rsidRDefault="00AA0F0C" w:rsidP="00033F9D">
      <w:pPr>
        <w:autoSpaceDE w:val="0"/>
        <w:autoSpaceDN w:val="0"/>
        <w:adjustRightInd w:val="0"/>
        <w:ind w:left="709" w:hanging="720"/>
        <w:jc w:val="both"/>
        <w:rPr>
          <w:rFonts w:ascii="Arial" w:hAnsi="Arial" w:cs="Arial"/>
          <w:bCs/>
          <w:sz w:val="20"/>
          <w:szCs w:val="20"/>
          <w:lang w:val="en-US"/>
        </w:rPr>
      </w:pPr>
    </w:p>
    <w:p w14:paraId="25A6FBBE" w14:textId="77777777" w:rsidR="00AA0F0C" w:rsidRPr="00DE4065" w:rsidRDefault="00AA0F0C" w:rsidP="00B30B93">
      <w:pPr>
        <w:pStyle w:val="ListParagraph"/>
        <w:numPr>
          <w:ilvl w:val="0"/>
          <w:numId w:val="1"/>
        </w:numPr>
        <w:autoSpaceDE w:val="0"/>
        <w:autoSpaceDN w:val="0"/>
        <w:adjustRightInd w:val="0"/>
        <w:ind w:left="1134" w:hanging="425"/>
        <w:jc w:val="both"/>
        <w:rPr>
          <w:rFonts w:ascii="Arial" w:hAnsi="Arial" w:cs="Arial"/>
          <w:bCs/>
          <w:sz w:val="20"/>
          <w:szCs w:val="20"/>
          <w:lang w:val="en-US"/>
        </w:rPr>
      </w:pPr>
      <w:r w:rsidRPr="00DE4065">
        <w:rPr>
          <w:rFonts w:ascii="Arial" w:hAnsi="Arial" w:cs="Arial"/>
          <w:bCs/>
          <w:sz w:val="20"/>
          <w:szCs w:val="20"/>
          <w:lang w:val="en-US"/>
        </w:rPr>
        <w:t>National Indicator 19: Number of days people spend in hospital when they are ready to be discharged;</w:t>
      </w:r>
      <w:r w:rsidR="004654D5" w:rsidRPr="00DE4065">
        <w:rPr>
          <w:rFonts w:ascii="Arial" w:hAnsi="Arial" w:cs="Arial"/>
          <w:bCs/>
          <w:sz w:val="20"/>
          <w:szCs w:val="20"/>
          <w:lang w:val="en-US"/>
        </w:rPr>
        <w:t xml:space="preserve"> and,</w:t>
      </w:r>
    </w:p>
    <w:p w14:paraId="12146E3C" w14:textId="77777777" w:rsidR="004654D5" w:rsidRPr="00DE4065" w:rsidRDefault="004654D5" w:rsidP="004654D5">
      <w:pPr>
        <w:pStyle w:val="ListParagraph"/>
        <w:autoSpaceDE w:val="0"/>
        <w:autoSpaceDN w:val="0"/>
        <w:adjustRightInd w:val="0"/>
        <w:ind w:left="1134"/>
        <w:jc w:val="both"/>
        <w:rPr>
          <w:rFonts w:ascii="Arial" w:hAnsi="Arial" w:cs="Arial"/>
          <w:bCs/>
          <w:sz w:val="20"/>
          <w:szCs w:val="20"/>
          <w:lang w:val="en-US"/>
        </w:rPr>
      </w:pPr>
    </w:p>
    <w:p w14:paraId="34D5AED7" w14:textId="77777777" w:rsidR="00A0686C" w:rsidRPr="00DE4065" w:rsidRDefault="00AA0F0C" w:rsidP="00B30B93">
      <w:pPr>
        <w:pStyle w:val="ListParagraph"/>
        <w:numPr>
          <w:ilvl w:val="0"/>
          <w:numId w:val="1"/>
        </w:numPr>
        <w:autoSpaceDE w:val="0"/>
        <w:autoSpaceDN w:val="0"/>
        <w:adjustRightInd w:val="0"/>
        <w:ind w:left="1134" w:hanging="425"/>
        <w:jc w:val="both"/>
        <w:rPr>
          <w:rFonts w:ascii="Arial" w:hAnsi="Arial" w:cs="Arial"/>
          <w:bCs/>
          <w:sz w:val="20"/>
          <w:szCs w:val="20"/>
          <w:lang w:val="en-US"/>
        </w:rPr>
      </w:pPr>
      <w:r w:rsidRPr="00DE4065">
        <w:rPr>
          <w:rFonts w:ascii="Arial" w:hAnsi="Arial" w:cs="Arial"/>
          <w:bCs/>
          <w:sz w:val="20"/>
          <w:szCs w:val="20"/>
          <w:lang w:val="en-US"/>
        </w:rPr>
        <w:t>National Indicator 22: Percentage of people who are dis</w:t>
      </w:r>
      <w:r w:rsidR="008F28F2" w:rsidRPr="00DE4065">
        <w:rPr>
          <w:rFonts w:ascii="Arial" w:hAnsi="Arial" w:cs="Arial"/>
          <w:bCs/>
          <w:sz w:val="20"/>
          <w:szCs w:val="20"/>
          <w:lang w:val="en-US"/>
        </w:rPr>
        <w:t>charged from hospital within 72 </w:t>
      </w:r>
      <w:r w:rsidRPr="00DE4065">
        <w:rPr>
          <w:rFonts w:ascii="Arial" w:hAnsi="Arial" w:cs="Arial"/>
          <w:bCs/>
          <w:sz w:val="20"/>
          <w:szCs w:val="20"/>
          <w:lang w:val="en-US"/>
        </w:rPr>
        <w:t>hours of being ready.</w:t>
      </w:r>
    </w:p>
    <w:p w14:paraId="04A14D0B" w14:textId="77777777" w:rsidR="00A0686C" w:rsidRPr="00DE4065" w:rsidRDefault="00A0686C" w:rsidP="00033F9D">
      <w:pPr>
        <w:autoSpaceDE w:val="0"/>
        <w:autoSpaceDN w:val="0"/>
        <w:adjustRightInd w:val="0"/>
        <w:ind w:left="709" w:hanging="720"/>
        <w:jc w:val="both"/>
        <w:rPr>
          <w:rFonts w:ascii="Arial" w:hAnsi="Arial" w:cs="Arial"/>
          <w:bCs/>
          <w:sz w:val="20"/>
          <w:szCs w:val="20"/>
          <w:lang w:val="en-US"/>
        </w:rPr>
      </w:pPr>
    </w:p>
    <w:p w14:paraId="3B1557CB" w14:textId="30BA4B4F" w:rsidR="00C65CB5" w:rsidRPr="00DE4065" w:rsidRDefault="00AA0F0C" w:rsidP="00033F9D">
      <w:pPr>
        <w:autoSpaceDE w:val="0"/>
        <w:autoSpaceDN w:val="0"/>
        <w:adjustRightInd w:val="0"/>
        <w:ind w:left="709" w:hanging="720"/>
        <w:jc w:val="both"/>
        <w:rPr>
          <w:rFonts w:ascii="Arial" w:hAnsi="Arial" w:cs="Arial"/>
          <w:bCs/>
          <w:sz w:val="20"/>
          <w:szCs w:val="20"/>
          <w:lang w:val="en-US"/>
        </w:rPr>
      </w:pPr>
      <w:r w:rsidRPr="00DE4065">
        <w:rPr>
          <w:rFonts w:ascii="Arial" w:hAnsi="Arial" w:cs="Arial"/>
          <w:bCs/>
          <w:sz w:val="20"/>
          <w:szCs w:val="20"/>
          <w:lang w:val="en-US"/>
        </w:rPr>
        <w:t>4.1.3</w:t>
      </w:r>
      <w:r w:rsidRPr="00DE4065">
        <w:rPr>
          <w:rFonts w:ascii="Arial" w:hAnsi="Arial" w:cs="Arial"/>
          <w:bCs/>
          <w:sz w:val="20"/>
          <w:szCs w:val="20"/>
          <w:lang w:val="en-US"/>
        </w:rPr>
        <w:tab/>
      </w:r>
      <w:r w:rsidR="00C65CB5" w:rsidRPr="00DE4065">
        <w:rPr>
          <w:rFonts w:ascii="Arial" w:hAnsi="Arial" w:cs="Arial"/>
          <w:bCs/>
          <w:sz w:val="20"/>
          <w:szCs w:val="20"/>
          <w:lang w:val="en-US"/>
        </w:rPr>
        <w:t>Within Dunde</w:t>
      </w:r>
      <w:r w:rsidR="00F24CE4" w:rsidRPr="00DE4065">
        <w:rPr>
          <w:rFonts w:ascii="Arial" w:hAnsi="Arial" w:cs="Arial"/>
          <w:bCs/>
          <w:sz w:val="20"/>
          <w:szCs w:val="20"/>
          <w:lang w:val="en-US"/>
        </w:rPr>
        <w:t>e key staff work collaboratively with the Tayside Urgent and Unscheduled Care Board in order to deliver on the strategic plan as set out by the National Urgent and Unscheduled Care Collaborative</w:t>
      </w:r>
      <w:r w:rsidR="009402FC" w:rsidRPr="00DE4065">
        <w:rPr>
          <w:rFonts w:ascii="Arial" w:hAnsi="Arial" w:cs="Arial"/>
          <w:bCs/>
          <w:sz w:val="20"/>
          <w:szCs w:val="20"/>
          <w:lang w:val="en-US"/>
        </w:rPr>
        <w:t>.</w:t>
      </w:r>
      <w:r w:rsidR="001A4C5A" w:rsidRPr="00DE4065">
        <w:rPr>
          <w:rFonts w:ascii="Arial" w:hAnsi="Arial" w:cs="Arial"/>
          <w:bCs/>
          <w:sz w:val="20"/>
          <w:szCs w:val="20"/>
          <w:lang w:val="en-US"/>
        </w:rPr>
        <w:t xml:space="preserve"> </w:t>
      </w:r>
      <w:r w:rsidR="00C65CB5" w:rsidRPr="00DE4065">
        <w:rPr>
          <w:rFonts w:ascii="Arial" w:hAnsi="Arial" w:cs="Arial"/>
          <w:bCs/>
          <w:sz w:val="20"/>
          <w:szCs w:val="20"/>
          <w:lang w:val="en-US"/>
        </w:rPr>
        <w:t xml:space="preserve">The </w:t>
      </w:r>
      <w:r w:rsidR="00F24CE4" w:rsidRPr="00DE4065">
        <w:rPr>
          <w:rFonts w:ascii="Arial" w:hAnsi="Arial" w:cs="Arial"/>
          <w:bCs/>
          <w:sz w:val="20"/>
          <w:szCs w:val="20"/>
          <w:lang w:val="en-US"/>
        </w:rPr>
        <w:t>focus of this work is to deliver care closer to home for</w:t>
      </w:r>
      <w:r w:rsidR="001A4C5A" w:rsidRPr="00DE4065">
        <w:rPr>
          <w:rFonts w:ascii="Arial" w:hAnsi="Arial" w:cs="Arial"/>
          <w:bCs/>
          <w:sz w:val="20"/>
          <w:szCs w:val="20"/>
          <w:lang w:val="en-US"/>
        </w:rPr>
        <w:t xml:space="preserve"> c</w:t>
      </w:r>
      <w:r w:rsidR="00C65CB5" w:rsidRPr="00DE4065">
        <w:rPr>
          <w:rFonts w:ascii="Arial" w:hAnsi="Arial" w:cs="Arial"/>
          <w:bCs/>
          <w:sz w:val="20"/>
          <w:szCs w:val="20"/>
          <w:lang w:val="en-US"/>
        </w:rPr>
        <w:t xml:space="preserve">itizens of </w:t>
      </w:r>
      <w:r w:rsidR="006027FE" w:rsidRPr="00DE4065">
        <w:rPr>
          <w:rFonts w:ascii="Arial" w:hAnsi="Arial" w:cs="Arial"/>
          <w:bCs/>
          <w:sz w:val="20"/>
          <w:szCs w:val="20"/>
          <w:lang w:val="en-US"/>
        </w:rPr>
        <w:t>Dundee and</w:t>
      </w:r>
      <w:r w:rsidR="00F24CE4" w:rsidRPr="00DE4065">
        <w:rPr>
          <w:rFonts w:ascii="Arial" w:hAnsi="Arial" w:cs="Arial"/>
          <w:bCs/>
          <w:sz w:val="20"/>
          <w:szCs w:val="20"/>
          <w:lang w:val="en-US"/>
        </w:rPr>
        <w:t xml:space="preserve"> to minimize hospital inpatient stays wherever appropriate</w:t>
      </w:r>
      <w:r w:rsidR="00C65CB5" w:rsidRPr="00DE4065">
        <w:rPr>
          <w:rFonts w:ascii="Arial" w:hAnsi="Arial" w:cs="Arial"/>
          <w:bCs/>
          <w:sz w:val="20"/>
          <w:szCs w:val="20"/>
          <w:lang w:val="en-US"/>
        </w:rPr>
        <w:t>.</w:t>
      </w:r>
    </w:p>
    <w:p w14:paraId="2B270DC2" w14:textId="77777777" w:rsidR="00E56A41" w:rsidRPr="00DE4065" w:rsidRDefault="00E56A41" w:rsidP="00033F9D">
      <w:pPr>
        <w:autoSpaceDE w:val="0"/>
        <w:autoSpaceDN w:val="0"/>
        <w:adjustRightInd w:val="0"/>
        <w:ind w:left="709" w:hanging="720"/>
        <w:jc w:val="both"/>
        <w:rPr>
          <w:rFonts w:ascii="Arial" w:hAnsi="Arial" w:cs="Arial"/>
          <w:sz w:val="20"/>
          <w:szCs w:val="20"/>
        </w:rPr>
      </w:pPr>
    </w:p>
    <w:p w14:paraId="14479941" w14:textId="1DDA30AA" w:rsidR="00130C06" w:rsidRPr="00DE4065" w:rsidRDefault="00C65CB5" w:rsidP="00033F9D">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4.1.</w:t>
      </w:r>
      <w:r w:rsidR="00AA0F0C" w:rsidRPr="00DE4065">
        <w:rPr>
          <w:rFonts w:ascii="Arial" w:hAnsi="Arial" w:cs="Arial"/>
          <w:sz w:val="20"/>
          <w:szCs w:val="20"/>
        </w:rPr>
        <w:t>4</w:t>
      </w:r>
      <w:r w:rsidRPr="00DE4065">
        <w:rPr>
          <w:rFonts w:ascii="Arial" w:hAnsi="Arial" w:cs="Arial"/>
          <w:sz w:val="20"/>
          <w:szCs w:val="20"/>
        </w:rPr>
        <w:tab/>
      </w:r>
      <w:r w:rsidR="00F24CE4" w:rsidRPr="00DE4065">
        <w:rPr>
          <w:rFonts w:ascii="Arial" w:hAnsi="Arial" w:cs="Arial"/>
          <w:sz w:val="20"/>
          <w:szCs w:val="20"/>
        </w:rPr>
        <w:t>The</w:t>
      </w:r>
      <w:r w:rsidR="00130C06" w:rsidRPr="00DE4065">
        <w:rPr>
          <w:rFonts w:ascii="Arial" w:hAnsi="Arial" w:cs="Arial"/>
          <w:sz w:val="20"/>
          <w:szCs w:val="20"/>
        </w:rPr>
        <w:t xml:space="preserve"> Tayside </w:t>
      </w:r>
      <w:r w:rsidR="00F24CE4" w:rsidRPr="00DE4065">
        <w:rPr>
          <w:rFonts w:ascii="Arial" w:hAnsi="Arial" w:cs="Arial"/>
          <w:sz w:val="20"/>
          <w:szCs w:val="20"/>
        </w:rPr>
        <w:t xml:space="preserve">Urgent and </w:t>
      </w:r>
      <w:r w:rsidR="00130C06" w:rsidRPr="00DE4065">
        <w:rPr>
          <w:rFonts w:ascii="Arial" w:hAnsi="Arial" w:cs="Arial"/>
          <w:sz w:val="20"/>
          <w:szCs w:val="20"/>
        </w:rPr>
        <w:t>Unscheduled Care Board</w:t>
      </w:r>
      <w:r w:rsidR="00F24CE4" w:rsidRPr="00DE4065">
        <w:rPr>
          <w:rFonts w:ascii="Arial" w:hAnsi="Arial" w:cs="Arial"/>
          <w:sz w:val="20"/>
          <w:szCs w:val="20"/>
        </w:rPr>
        <w:t xml:space="preserve"> is</w:t>
      </w:r>
      <w:r w:rsidR="00130C06" w:rsidRPr="00DE4065">
        <w:rPr>
          <w:rFonts w:ascii="Arial" w:hAnsi="Arial" w:cs="Arial"/>
          <w:sz w:val="20"/>
          <w:szCs w:val="20"/>
        </w:rPr>
        <w:t xml:space="preserve"> chaired jointly by the </w:t>
      </w:r>
      <w:r w:rsidR="77BFE28C" w:rsidRPr="00DE4065">
        <w:rPr>
          <w:rFonts w:ascii="Arial" w:hAnsi="Arial" w:cs="Arial"/>
          <w:sz w:val="20"/>
          <w:szCs w:val="20"/>
        </w:rPr>
        <w:t>Associate Locality Manager for Acute and Urgent Care in Dundee H</w:t>
      </w:r>
      <w:r w:rsidR="00130C06" w:rsidRPr="00DE4065">
        <w:rPr>
          <w:rFonts w:ascii="Arial" w:hAnsi="Arial" w:cs="Arial"/>
          <w:sz w:val="20"/>
          <w:szCs w:val="20"/>
        </w:rPr>
        <w:t>ealth and Social Care Partnership and the Associate Directo</w:t>
      </w:r>
      <w:r w:rsidR="008F28F2" w:rsidRPr="00DE4065">
        <w:rPr>
          <w:rFonts w:ascii="Arial" w:hAnsi="Arial" w:cs="Arial"/>
          <w:sz w:val="20"/>
          <w:szCs w:val="20"/>
        </w:rPr>
        <w:t>r for Medicine</w:t>
      </w:r>
      <w:r w:rsidR="00F24CE4" w:rsidRPr="00DE4065">
        <w:rPr>
          <w:rFonts w:ascii="Arial" w:hAnsi="Arial" w:cs="Arial"/>
          <w:sz w:val="20"/>
          <w:szCs w:val="20"/>
        </w:rPr>
        <w:t xml:space="preserve"> in NHS Tayside</w:t>
      </w:r>
      <w:r w:rsidR="00415D28" w:rsidRPr="00DE4065">
        <w:rPr>
          <w:rFonts w:ascii="Arial" w:hAnsi="Arial" w:cs="Arial"/>
          <w:sz w:val="20"/>
          <w:szCs w:val="20"/>
        </w:rPr>
        <w:t>.</w:t>
      </w:r>
      <w:r w:rsidR="009402FC" w:rsidRPr="00DE4065">
        <w:rPr>
          <w:rFonts w:ascii="Arial" w:hAnsi="Arial" w:cs="Arial"/>
          <w:sz w:val="20"/>
          <w:szCs w:val="20"/>
        </w:rPr>
        <w:t xml:space="preserve"> Membership of the Board is made up of senior staff from key clinical areas. The Dundee position is represented by the Associate Locality Manager for Acute and Urgent Care. </w:t>
      </w:r>
      <w:r w:rsidR="00F24CE4" w:rsidRPr="00DE4065">
        <w:rPr>
          <w:rFonts w:ascii="Arial" w:hAnsi="Arial" w:cs="Arial"/>
          <w:sz w:val="20"/>
          <w:szCs w:val="20"/>
        </w:rPr>
        <w:t>Liaison</w:t>
      </w:r>
      <w:r w:rsidR="009402FC" w:rsidRPr="00DE4065">
        <w:rPr>
          <w:rFonts w:ascii="Arial" w:hAnsi="Arial" w:cs="Arial"/>
          <w:sz w:val="20"/>
          <w:szCs w:val="20"/>
        </w:rPr>
        <w:t xml:space="preserve"> between</w:t>
      </w:r>
      <w:r w:rsidR="00F24CE4" w:rsidRPr="00DE4065">
        <w:rPr>
          <w:rFonts w:ascii="Arial" w:hAnsi="Arial" w:cs="Arial"/>
          <w:sz w:val="20"/>
          <w:szCs w:val="20"/>
        </w:rPr>
        <w:t xml:space="preserve"> the local Board and the national team is </w:t>
      </w:r>
      <w:r w:rsidR="00F24CE4" w:rsidRPr="00DE4065">
        <w:rPr>
          <w:rFonts w:ascii="Arial" w:hAnsi="Arial" w:cs="Arial"/>
          <w:sz w:val="20"/>
          <w:szCs w:val="20"/>
        </w:rPr>
        <w:lastRenderedPageBreak/>
        <w:t>undertaken by a Programme Manager within the NHS Tayside Improvement Team</w:t>
      </w:r>
      <w:r w:rsidR="34343A8C" w:rsidRPr="00DE4065">
        <w:rPr>
          <w:rFonts w:ascii="Arial" w:hAnsi="Arial" w:cs="Arial"/>
          <w:sz w:val="20"/>
          <w:szCs w:val="20"/>
        </w:rPr>
        <w:t xml:space="preserve"> alongside the Programme Leadership Team. </w:t>
      </w:r>
    </w:p>
    <w:p w14:paraId="79ABD0F8" w14:textId="77777777" w:rsidR="00415D28" w:rsidRPr="00DE4065" w:rsidRDefault="00415D28" w:rsidP="00415D28">
      <w:pPr>
        <w:autoSpaceDE w:val="0"/>
        <w:autoSpaceDN w:val="0"/>
        <w:adjustRightInd w:val="0"/>
        <w:ind w:left="709" w:hanging="720"/>
        <w:jc w:val="both"/>
        <w:rPr>
          <w:rFonts w:ascii="Arial" w:hAnsi="Arial" w:cs="Arial"/>
          <w:sz w:val="20"/>
          <w:szCs w:val="20"/>
        </w:rPr>
      </w:pPr>
    </w:p>
    <w:p w14:paraId="40B53172" w14:textId="0639FDC0" w:rsidR="009402FC" w:rsidRPr="00DE4065" w:rsidRDefault="00415D28"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4.1.</w:t>
      </w:r>
      <w:r w:rsidR="006027FE" w:rsidRPr="00DE4065">
        <w:rPr>
          <w:rFonts w:ascii="Arial" w:hAnsi="Arial" w:cs="Arial"/>
          <w:sz w:val="20"/>
          <w:szCs w:val="20"/>
        </w:rPr>
        <w:t>5</w:t>
      </w:r>
      <w:r w:rsidRPr="00DE4065">
        <w:rPr>
          <w:rFonts w:ascii="Arial" w:hAnsi="Arial" w:cs="Arial"/>
          <w:sz w:val="20"/>
          <w:szCs w:val="20"/>
        </w:rPr>
        <w:tab/>
      </w:r>
      <w:r w:rsidR="0DA09207" w:rsidRPr="00DE4065">
        <w:rPr>
          <w:rFonts w:ascii="Arial" w:hAnsi="Arial" w:cs="Arial"/>
          <w:sz w:val="20"/>
          <w:szCs w:val="20"/>
        </w:rPr>
        <w:t>This year, the programme of work is split across 4 key workstreams:</w:t>
      </w:r>
    </w:p>
    <w:p w14:paraId="0E0E4D85" w14:textId="77777777" w:rsidR="00C50943" w:rsidRPr="00DE4065" w:rsidRDefault="00C50943" w:rsidP="3EF05A0C">
      <w:pPr>
        <w:autoSpaceDE w:val="0"/>
        <w:autoSpaceDN w:val="0"/>
        <w:adjustRightInd w:val="0"/>
        <w:ind w:left="709" w:hanging="720"/>
        <w:jc w:val="both"/>
        <w:rPr>
          <w:rFonts w:ascii="Arial" w:hAnsi="Arial" w:cs="Arial"/>
          <w:sz w:val="20"/>
          <w:szCs w:val="20"/>
        </w:rPr>
      </w:pPr>
    </w:p>
    <w:p w14:paraId="55CA877C" w14:textId="497E9697" w:rsidR="009402FC" w:rsidRPr="00DE4065" w:rsidRDefault="0DA09207"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             </w:t>
      </w:r>
      <w:r w:rsidRPr="00DE4065">
        <w:rPr>
          <w:rFonts w:ascii="Arial" w:hAnsi="Arial" w:cs="Arial"/>
          <w:sz w:val="20"/>
          <w:szCs w:val="20"/>
          <w:u w:val="single"/>
        </w:rPr>
        <w:t>Optimising Access</w:t>
      </w:r>
    </w:p>
    <w:p w14:paraId="56CD3A5D" w14:textId="72F34B56" w:rsidR="009402FC" w:rsidRPr="00DE4065" w:rsidRDefault="0DA09207"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             Aimed at creating clear and seamless communication and referral pathways between community urgent services in order to create alternatives to hospital admission where </w:t>
      </w:r>
      <w:r w:rsidR="54BBEC32" w:rsidRPr="00DE4065">
        <w:rPr>
          <w:rFonts w:ascii="Arial" w:hAnsi="Arial" w:cs="Arial"/>
          <w:sz w:val="20"/>
          <w:szCs w:val="20"/>
        </w:rPr>
        <w:t xml:space="preserve">appropriate. </w:t>
      </w:r>
    </w:p>
    <w:p w14:paraId="58BFF243" w14:textId="77777777" w:rsidR="00C50943" w:rsidRPr="00DE4065" w:rsidRDefault="00C50943" w:rsidP="3EF05A0C">
      <w:pPr>
        <w:autoSpaceDE w:val="0"/>
        <w:autoSpaceDN w:val="0"/>
        <w:adjustRightInd w:val="0"/>
        <w:ind w:left="709" w:hanging="720"/>
        <w:jc w:val="both"/>
        <w:rPr>
          <w:rFonts w:ascii="Arial" w:hAnsi="Arial" w:cs="Arial"/>
          <w:sz w:val="20"/>
          <w:szCs w:val="20"/>
        </w:rPr>
      </w:pPr>
    </w:p>
    <w:p w14:paraId="46C476EA" w14:textId="2A3A4C69" w:rsidR="009402FC" w:rsidRPr="00DE4065" w:rsidRDefault="54BBEC32"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             </w:t>
      </w:r>
      <w:r w:rsidRPr="00DE4065">
        <w:rPr>
          <w:rFonts w:ascii="Arial" w:hAnsi="Arial" w:cs="Arial"/>
          <w:sz w:val="20"/>
          <w:szCs w:val="20"/>
          <w:u w:val="single"/>
        </w:rPr>
        <w:t>Performance 95</w:t>
      </w:r>
    </w:p>
    <w:p w14:paraId="4999E20C" w14:textId="6C55432F" w:rsidR="009402FC" w:rsidRPr="00DE4065" w:rsidRDefault="54BBEC32"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             Improving the flow through the Emergency Department in order to ensure the </w:t>
      </w:r>
      <w:r w:rsidR="00DE4065" w:rsidRPr="00DE4065">
        <w:rPr>
          <w:rFonts w:ascii="Arial" w:hAnsi="Arial" w:cs="Arial"/>
          <w:sz w:val="20"/>
          <w:szCs w:val="20"/>
        </w:rPr>
        <w:t>4-hour</w:t>
      </w:r>
      <w:r w:rsidRPr="00DE4065">
        <w:rPr>
          <w:rFonts w:ascii="Arial" w:hAnsi="Arial" w:cs="Arial"/>
          <w:sz w:val="20"/>
          <w:szCs w:val="20"/>
        </w:rPr>
        <w:t xml:space="preserve"> national target is achieved</w:t>
      </w:r>
      <w:r w:rsidR="61B4DA3F" w:rsidRPr="00DE4065">
        <w:rPr>
          <w:rFonts w:ascii="Arial" w:hAnsi="Arial" w:cs="Arial"/>
          <w:sz w:val="20"/>
          <w:szCs w:val="20"/>
        </w:rPr>
        <w:t xml:space="preserve">. </w:t>
      </w:r>
    </w:p>
    <w:p w14:paraId="4CA0F51B" w14:textId="77777777" w:rsidR="00C50943" w:rsidRPr="00DE4065" w:rsidRDefault="00C50943" w:rsidP="3EF05A0C">
      <w:pPr>
        <w:autoSpaceDE w:val="0"/>
        <w:autoSpaceDN w:val="0"/>
        <w:adjustRightInd w:val="0"/>
        <w:ind w:left="709" w:hanging="720"/>
        <w:jc w:val="both"/>
        <w:rPr>
          <w:rFonts w:ascii="Arial" w:hAnsi="Arial" w:cs="Arial"/>
          <w:sz w:val="20"/>
          <w:szCs w:val="20"/>
        </w:rPr>
      </w:pPr>
    </w:p>
    <w:p w14:paraId="69C47D51" w14:textId="342D1BB6" w:rsidR="009402FC" w:rsidRPr="00DE4065" w:rsidRDefault="61B4DA3F"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            </w:t>
      </w:r>
      <w:r w:rsidRPr="00DE4065">
        <w:rPr>
          <w:rFonts w:ascii="Arial" w:hAnsi="Arial" w:cs="Arial"/>
          <w:sz w:val="20"/>
          <w:szCs w:val="20"/>
          <w:u w:val="single"/>
        </w:rPr>
        <w:t>Community Urgent Care</w:t>
      </w:r>
    </w:p>
    <w:p w14:paraId="502FF82E" w14:textId="77777777" w:rsidR="00DE4065" w:rsidRDefault="61B4DA3F"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            Linked closely to the Optimising Access workstream, this focuses on improving and expanding</w:t>
      </w:r>
    </w:p>
    <w:p w14:paraId="25C974E9" w14:textId="698C8DFC" w:rsidR="009402FC" w:rsidRPr="00DE4065" w:rsidRDefault="61B4DA3F" w:rsidP="00DE4065">
      <w:pPr>
        <w:autoSpaceDE w:val="0"/>
        <w:autoSpaceDN w:val="0"/>
        <w:adjustRightInd w:val="0"/>
        <w:ind w:left="709"/>
        <w:jc w:val="both"/>
        <w:rPr>
          <w:rFonts w:ascii="Arial" w:hAnsi="Arial" w:cs="Arial"/>
          <w:sz w:val="20"/>
          <w:szCs w:val="20"/>
        </w:rPr>
      </w:pPr>
      <w:r w:rsidRPr="00DE4065">
        <w:rPr>
          <w:rFonts w:ascii="Arial" w:hAnsi="Arial" w:cs="Arial"/>
          <w:sz w:val="20"/>
          <w:szCs w:val="20"/>
        </w:rPr>
        <w:t>the role of Urgent Care services in the</w:t>
      </w:r>
      <w:r w:rsidR="3352F3CF" w:rsidRPr="00DE4065">
        <w:rPr>
          <w:rFonts w:ascii="Arial" w:hAnsi="Arial" w:cs="Arial"/>
          <w:sz w:val="20"/>
          <w:szCs w:val="20"/>
        </w:rPr>
        <w:t xml:space="preserve"> community setting. In Dundee this specifically relates to improvement work ongoing within the Dundee Enhanced Care at Home Team (DECAHT).</w:t>
      </w:r>
    </w:p>
    <w:p w14:paraId="3A8896FF" w14:textId="77777777" w:rsidR="00C50943" w:rsidRPr="00DE4065" w:rsidRDefault="00C50943" w:rsidP="3EF05A0C">
      <w:pPr>
        <w:autoSpaceDE w:val="0"/>
        <w:autoSpaceDN w:val="0"/>
        <w:adjustRightInd w:val="0"/>
        <w:ind w:left="709" w:hanging="720"/>
        <w:jc w:val="both"/>
        <w:rPr>
          <w:rFonts w:ascii="Arial" w:hAnsi="Arial" w:cs="Arial"/>
          <w:sz w:val="20"/>
          <w:szCs w:val="20"/>
        </w:rPr>
      </w:pPr>
    </w:p>
    <w:p w14:paraId="36E3593B" w14:textId="044048B6" w:rsidR="009402FC" w:rsidRPr="00DE4065" w:rsidRDefault="3352F3CF"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            </w:t>
      </w:r>
      <w:r w:rsidRPr="00DE4065">
        <w:rPr>
          <w:rFonts w:ascii="Arial" w:hAnsi="Arial" w:cs="Arial"/>
          <w:sz w:val="20"/>
          <w:szCs w:val="20"/>
          <w:u w:val="single"/>
        </w:rPr>
        <w:t>Optimising Flow</w:t>
      </w:r>
    </w:p>
    <w:p w14:paraId="7A537643" w14:textId="11A5410E" w:rsidR="009402FC" w:rsidRPr="00DE4065" w:rsidRDefault="3352F3CF" w:rsidP="3EF05A0C">
      <w:pPr>
        <w:autoSpaceDE w:val="0"/>
        <w:autoSpaceDN w:val="0"/>
        <w:adjustRightInd w:val="0"/>
        <w:ind w:left="709" w:hanging="720"/>
        <w:jc w:val="both"/>
        <w:rPr>
          <w:rFonts w:ascii="Arial" w:hAnsi="Arial" w:cs="Arial"/>
          <w:sz w:val="20"/>
          <w:szCs w:val="20"/>
          <w:u w:val="single"/>
        </w:rPr>
      </w:pPr>
      <w:r w:rsidRPr="00DE4065">
        <w:rPr>
          <w:rFonts w:ascii="Arial" w:hAnsi="Arial" w:cs="Arial"/>
          <w:sz w:val="20"/>
          <w:szCs w:val="20"/>
        </w:rPr>
        <w:t xml:space="preserve">            A continuation of the Discharge Without Delay work undertaken last year, focussing on supporting every ward area in Tayside to achieve upper quartile length of stay in relation to the national benchmarking data. </w:t>
      </w:r>
    </w:p>
    <w:p w14:paraId="07DFBA5E" w14:textId="363329BE" w:rsidR="009402FC" w:rsidRPr="00DE4065" w:rsidRDefault="009402FC" w:rsidP="3EF05A0C">
      <w:pPr>
        <w:autoSpaceDE w:val="0"/>
        <w:autoSpaceDN w:val="0"/>
        <w:adjustRightInd w:val="0"/>
        <w:ind w:left="709" w:hanging="720"/>
        <w:jc w:val="both"/>
        <w:rPr>
          <w:rFonts w:ascii="Arial" w:hAnsi="Arial" w:cs="Arial"/>
          <w:sz w:val="20"/>
          <w:szCs w:val="20"/>
        </w:rPr>
      </w:pPr>
    </w:p>
    <w:p w14:paraId="49E8CCC1" w14:textId="0B4E2AF4" w:rsidR="009402FC" w:rsidRPr="00DE4065" w:rsidRDefault="55B9DC9C"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4.1.6   </w:t>
      </w:r>
      <w:r w:rsidR="6B5B151F" w:rsidRPr="00DE4065">
        <w:rPr>
          <w:rFonts w:ascii="Arial" w:hAnsi="Arial" w:cs="Arial"/>
          <w:sz w:val="20"/>
          <w:szCs w:val="20"/>
        </w:rPr>
        <w:t xml:space="preserve">These workstreams are closely linked to the aims contained within the NHS Tayside Annual Delivery Plan. As part of the collaborative working relating to this, </w:t>
      </w:r>
      <w:r w:rsidR="63235251" w:rsidRPr="00DE4065">
        <w:rPr>
          <w:rFonts w:ascii="Arial" w:hAnsi="Arial" w:cs="Arial"/>
          <w:sz w:val="20"/>
          <w:szCs w:val="20"/>
        </w:rPr>
        <w:t>each Health and Social Care Partnership in Tayside has agreed to work towards specific targets</w:t>
      </w:r>
      <w:r w:rsidR="5945638A" w:rsidRPr="00DE4065">
        <w:rPr>
          <w:rFonts w:ascii="Arial" w:hAnsi="Arial" w:cs="Arial"/>
          <w:sz w:val="20"/>
          <w:szCs w:val="20"/>
        </w:rPr>
        <w:t>: achieving and maintaining GREEN RAG</w:t>
      </w:r>
      <w:r w:rsidR="00DE4065">
        <w:rPr>
          <w:rFonts w:ascii="Arial" w:hAnsi="Arial" w:cs="Arial"/>
          <w:sz w:val="20"/>
          <w:szCs w:val="20"/>
        </w:rPr>
        <w:t xml:space="preserve"> (red / amber / green)</w:t>
      </w:r>
      <w:r w:rsidR="5945638A" w:rsidRPr="00DE4065">
        <w:rPr>
          <w:rFonts w:ascii="Arial" w:hAnsi="Arial" w:cs="Arial"/>
          <w:sz w:val="20"/>
          <w:szCs w:val="20"/>
        </w:rPr>
        <w:t xml:space="preserve"> status for delayed discharges against the locally set targets</w:t>
      </w:r>
      <w:r w:rsidR="616032C5" w:rsidRPr="00DE4065">
        <w:rPr>
          <w:rFonts w:ascii="Arial" w:hAnsi="Arial" w:cs="Arial"/>
          <w:sz w:val="20"/>
          <w:szCs w:val="20"/>
        </w:rPr>
        <w:t xml:space="preserve">; and </w:t>
      </w:r>
      <w:r w:rsidR="29C10D35" w:rsidRPr="00DE4065">
        <w:rPr>
          <w:rFonts w:ascii="Arial" w:hAnsi="Arial" w:cs="Arial"/>
          <w:sz w:val="20"/>
          <w:szCs w:val="20"/>
        </w:rPr>
        <w:t>contributing to a 5% reduction in admission</w:t>
      </w:r>
      <w:r w:rsidR="57F2B0ED" w:rsidRPr="00DE4065">
        <w:rPr>
          <w:rFonts w:ascii="Arial" w:hAnsi="Arial" w:cs="Arial"/>
          <w:sz w:val="20"/>
          <w:szCs w:val="20"/>
        </w:rPr>
        <w:t>s.</w:t>
      </w:r>
      <w:r w:rsidR="29C10D35" w:rsidRPr="00DE4065">
        <w:rPr>
          <w:rFonts w:ascii="Arial" w:hAnsi="Arial" w:cs="Arial"/>
          <w:sz w:val="20"/>
          <w:szCs w:val="20"/>
        </w:rPr>
        <w:t xml:space="preserve"> </w:t>
      </w:r>
    </w:p>
    <w:p w14:paraId="41B43ADF" w14:textId="5F6C0A25" w:rsidR="009402FC" w:rsidRPr="00DE4065" w:rsidRDefault="009402FC" w:rsidP="3EF05A0C">
      <w:pPr>
        <w:autoSpaceDE w:val="0"/>
        <w:autoSpaceDN w:val="0"/>
        <w:adjustRightInd w:val="0"/>
        <w:ind w:left="709" w:hanging="720"/>
        <w:jc w:val="both"/>
        <w:rPr>
          <w:rFonts w:ascii="Arial" w:hAnsi="Arial" w:cs="Arial"/>
          <w:sz w:val="20"/>
          <w:szCs w:val="20"/>
        </w:rPr>
      </w:pPr>
    </w:p>
    <w:p w14:paraId="3E7E5293" w14:textId="34B0546B" w:rsidR="009402FC" w:rsidRPr="00DE4065" w:rsidRDefault="5B593141" w:rsidP="3EF05A0C">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4.1.7    </w:t>
      </w:r>
      <w:r w:rsidR="6BD6EBC8" w:rsidRPr="00DE4065">
        <w:rPr>
          <w:rFonts w:ascii="Arial" w:hAnsi="Arial" w:cs="Arial"/>
          <w:sz w:val="20"/>
          <w:szCs w:val="20"/>
        </w:rPr>
        <w:t>V</w:t>
      </w:r>
      <w:r w:rsidR="1D7DC691" w:rsidRPr="00DE4065">
        <w:rPr>
          <w:rFonts w:ascii="Arial" w:hAnsi="Arial" w:cs="Arial"/>
          <w:sz w:val="20"/>
          <w:szCs w:val="20"/>
        </w:rPr>
        <w:t xml:space="preserve">arious reporting mechanisms </w:t>
      </w:r>
      <w:r w:rsidR="43016C60" w:rsidRPr="00DE4065">
        <w:rPr>
          <w:rFonts w:ascii="Arial" w:hAnsi="Arial" w:cs="Arial"/>
          <w:sz w:val="20"/>
          <w:szCs w:val="20"/>
        </w:rPr>
        <w:t xml:space="preserve">are </w:t>
      </w:r>
      <w:r w:rsidR="1D7DC691" w:rsidRPr="00DE4065">
        <w:rPr>
          <w:rFonts w:ascii="Arial" w:hAnsi="Arial" w:cs="Arial"/>
          <w:sz w:val="20"/>
          <w:szCs w:val="20"/>
        </w:rPr>
        <w:t xml:space="preserve">in place </w:t>
      </w:r>
      <w:r w:rsidR="0F720B68" w:rsidRPr="00DE4065">
        <w:rPr>
          <w:rFonts w:ascii="Arial" w:hAnsi="Arial" w:cs="Arial"/>
          <w:sz w:val="20"/>
          <w:szCs w:val="20"/>
        </w:rPr>
        <w:t>as well as datasets which support</w:t>
      </w:r>
      <w:r w:rsidR="00DE4065">
        <w:rPr>
          <w:rFonts w:ascii="Arial" w:hAnsi="Arial" w:cs="Arial"/>
          <w:sz w:val="20"/>
          <w:szCs w:val="20"/>
        </w:rPr>
        <w:t>s</w:t>
      </w:r>
      <w:r w:rsidR="0F720B68" w:rsidRPr="00DE4065">
        <w:rPr>
          <w:rFonts w:ascii="Arial" w:hAnsi="Arial" w:cs="Arial"/>
          <w:sz w:val="20"/>
          <w:szCs w:val="20"/>
        </w:rPr>
        <w:t xml:space="preserve"> </w:t>
      </w:r>
      <w:r w:rsidR="00DE4065">
        <w:rPr>
          <w:rFonts w:ascii="Arial" w:hAnsi="Arial" w:cs="Arial"/>
          <w:sz w:val="20"/>
          <w:szCs w:val="20"/>
        </w:rPr>
        <w:t>the</w:t>
      </w:r>
      <w:r w:rsidR="0F720B68" w:rsidRPr="00DE4065">
        <w:rPr>
          <w:rFonts w:ascii="Arial" w:hAnsi="Arial" w:cs="Arial"/>
          <w:sz w:val="20"/>
          <w:szCs w:val="20"/>
        </w:rPr>
        <w:t xml:space="preserve"> ongoing understanding </w:t>
      </w:r>
      <w:r w:rsidR="242C4C79" w:rsidRPr="00DE4065">
        <w:rPr>
          <w:rFonts w:ascii="Arial" w:hAnsi="Arial" w:cs="Arial"/>
          <w:sz w:val="20"/>
          <w:szCs w:val="20"/>
        </w:rPr>
        <w:t xml:space="preserve">of performance against the agreed targets. </w:t>
      </w:r>
    </w:p>
    <w:p w14:paraId="4D558C25" w14:textId="6BA35B18" w:rsidR="009402FC" w:rsidRPr="00DE4065" w:rsidRDefault="00DE4065" w:rsidP="3EF05A0C">
      <w:pPr>
        <w:autoSpaceDE w:val="0"/>
        <w:autoSpaceDN w:val="0"/>
        <w:adjustRightInd w:val="0"/>
        <w:ind w:left="709" w:hanging="720"/>
        <w:jc w:val="both"/>
        <w:rPr>
          <w:rFonts w:ascii="Arial" w:hAnsi="Arial" w:cs="Arial"/>
          <w:sz w:val="20"/>
          <w:szCs w:val="20"/>
        </w:rPr>
      </w:pPr>
      <w:r>
        <w:rPr>
          <w:rFonts w:ascii="Arial" w:hAnsi="Arial" w:cs="Arial"/>
          <w:sz w:val="20"/>
          <w:szCs w:val="20"/>
        </w:rPr>
        <w:tab/>
      </w:r>
    </w:p>
    <w:p w14:paraId="731B4798" w14:textId="74EA99D5" w:rsidR="009402FC" w:rsidRPr="00DE4065" w:rsidRDefault="5945638A" w:rsidP="00D5488E">
      <w:pPr>
        <w:autoSpaceDE w:val="0"/>
        <w:autoSpaceDN w:val="0"/>
        <w:adjustRightInd w:val="0"/>
        <w:ind w:left="709" w:hanging="720"/>
        <w:jc w:val="both"/>
        <w:rPr>
          <w:rFonts w:ascii="Arial" w:hAnsi="Arial" w:cs="Arial"/>
          <w:sz w:val="20"/>
          <w:szCs w:val="20"/>
        </w:rPr>
      </w:pPr>
      <w:r w:rsidRPr="00DE4065">
        <w:rPr>
          <w:rFonts w:ascii="Arial" w:hAnsi="Arial" w:cs="Arial"/>
          <w:sz w:val="20"/>
          <w:szCs w:val="20"/>
        </w:rPr>
        <w:t xml:space="preserve"> </w:t>
      </w:r>
      <w:r w:rsidR="00415D28" w:rsidRPr="00DE4065">
        <w:rPr>
          <w:rFonts w:ascii="Arial" w:hAnsi="Arial" w:cs="Arial"/>
          <w:sz w:val="20"/>
          <w:szCs w:val="20"/>
        </w:rPr>
        <w:t xml:space="preserve">  </w:t>
      </w:r>
      <w:r w:rsidR="00DE4065">
        <w:rPr>
          <w:rFonts w:ascii="Arial" w:hAnsi="Arial" w:cs="Arial"/>
          <w:sz w:val="20"/>
          <w:szCs w:val="20"/>
        </w:rPr>
        <w:tab/>
      </w:r>
      <w:r w:rsidR="00415D28" w:rsidRPr="00DE4065">
        <w:rPr>
          <w:rFonts w:ascii="Arial" w:hAnsi="Arial" w:cs="Arial"/>
          <w:sz w:val="20"/>
          <w:szCs w:val="20"/>
        </w:rPr>
        <w:t>This includes</w:t>
      </w:r>
      <w:r w:rsidR="006027FE" w:rsidRPr="00DE4065">
        <w:rPr>
          <w:rFonts w:ascii="Arial" w:hAnsi="Arial" w:cs="Arial"/>
          <w:sz w:val="20"/>
          <w:szCs w:val="20"/>
        </w:rPr>
        <w:t>:</w:t>
      </w:r>
      <w:r w:rsidR="00415D28" w:rsidRPr="00DE4065">
        <w:rPr>
          <w:rFonts w:ascii="Arial" w:hAnsi="Arial" w:cs="Arial"/>
          <w:sz w:val="20"/>
          <w:szCs w:val="20"/>
        </w:rPr>
        <w:t xml:space="preserve"> </w:t>
      </w:r>
    </w:p>
    <w:p w14:paraId="4A6751E0" w14:textId="77777777" w:rsidR="00723988" w:rsidRPr="00DE4065" w:rsidRDefault="00723988" w:rsidP="00D5488E">
      <w:pPr>
        <w:autoSpaceDE w:val="0"/>
        <w:autoSpaceDN w:val="0"/>
        <w:adjustRightInd w:val="0"/>
        <w:ind w:left="709" w:hanging="720"/>
        <w:jc w:val="both"/>
        <w:rPr>
          <w:rFonts w:ascii="Arial" w:hAnsi="Arial" w:cs="Arial"/>
          <w:sz w:val="20"/>
          <w:szCs w:val="20"/>
        </w:rPr>
      </w:pPr>
    </w:p>
    <w:p w14:paraId="233D26F9" w14:textId="7E04664D" w:rsidR="009402FC" w:rsidRPr="00DE4065" w:rsidRDefault="4798BD6A" w:rsidP="00646CD1">
      <w:pPr>
        <w:pStyle w:val="ListParagraph"/>
        <w:numPr>
          <w:ilvl w:val="0"/>
          <w:numId w:val="27"/>
        </w:numPr>
        <w:autoSpaceDE w:val="0"/>
        <w:autoSpaceDN w:val="0"/>
        <w:adjustRightInd w:val="0"/>
        <w:ind w:left="1440"/>
        <w:jc w:val="both"/>
        <w:rPr>
          <w:rFonts w:ascii="Arial" w:hAnsi="Arial" w:cs="Arial"/>
          <w:sz w:val="20"/>
          <w:szCs w:val="20"/>
        </w:rPr>
      </w:pPr>
      <w:r w:rsidRPr="00DE4065">
        <w:rPr>
          <w:rFonts w:ascii="Arial" w:hAnsi="Arial" w:cs="Arial"/>
          <w:sz w:val="20"/>
          <w:szCs w:val="20"/>
        </w:rPr>
        <w:t xml:space="preserve">Daily management and reporting of </w:t>
      </w:r>
      <w:r w:rsidR="00415D28" w:rsidRPr="00DE4065">
        <w:rPr>
          <w:rFonts w:ascii="Arial" w:hAnsi="Arial" w:cs="Arial"/>
          <w:sz w:val="20"/>
          <w:szCs w:val="20"/>
        </w:rPr>
        <w:t>‘RAG’ s</w:t>
      </w:r>
      <w:r w:rsidR="2ACBB5E8" w:rsidRPr="00DE4065">
        <w:rPr>
          <w:rFonts w:ascii="Arial" w:hAnsi="Arial" w:cs="Arial"/>
          <w:sz w:val="20"/>
          <w:szCs w:val="20"/>
        </w:rPr>
        <w:t xml:space="preserve">tatus </w:t>
      </w:r>
      <w:r w:rsidR="00415D28" w:rsidRPr="00DE4065">
        <w:rPr>
          <w:rFonts w:ascii="Arial" w:hAnsi="Arial" w:cs="Arial"/>
          <w:sz w:val="20"/>
          <w:szCs w:val="20"/>
        </w:rPr>
        <w:t>across all sites</w:t>
      </w:r>
      <w:r w:rsidR="006027FE" w:rsidRPr="00DE4065">
        <w:rPr>
          <w:rFonts w:ascii="Arial" w:hAnsi="Arial" w:cs="Arial"/>
          <w:sz w:val="20"/>
          <w:szCs w:val="20"/>
        </w:rPr>
        <w:t>;</w:t>
      </w:r>
      <w:r w:rsidR="00415D28" w:rsidRPr="00DE4065">
        <w:rPr>
          <w:rFonts w:ascii="Arial" w:hAnsi="Arial" w:cs="Arial"/>
          <w:sz w:val="20"/>
          <w:szCs w:val="20"/>
        </w:rPr>
        <w:t xml:space="preserve"> </w:t>
      </w:r>
    </w:p>
    <w:p w14:paraId="0AB36215" w14:textId="0698E051" w:rsidR="3EF05A0C" w:rsidRPr="00DE4065" w:rsidRDefault="3EF05A0C" w:rsidP="00646CD1">
      <w:pPr>
        <w:pStyle w:val="ListParagraph"/>
        <w:ind w:left="1440"/>
        <w:jc w:val="both"/>
        <w:rPr>
          <w:rFonts w:ascii="Arial" w:hAnsi="Arial" w:cs="Arial"/>
          <w:sz w:val="20"/>
          <w:szCs w:val="20"/>
        </w:rPr>
      </w:pPr>
    </w:p>
    <w:p w14:paraId="48E14FC0" w14:textId="2CDB90E7" w:rsidR="57A966D5" w:rsidRPr="00DE4065" w:rsidRDefault="57A966D5" w:rsidP="00646CD1">
      <w:pPr>
        <w:pStyle w:val="ListParagraph"/>
        <w:numPr>
          <w:ilvl w:val="0"/>
          <w:numId w:val="27"/>
        </w:numPr>
        <w:ind w:left="1440"/>
        <w:jc w:val="both"/>
        <w:rPr>
          <w:rFonts w:ascii="Arial" w:hAnsi="Arial" w:cs="Arial"/>
          <w:sz w:val="20"/>
          <w:szCs w:val="20"/>
        </w:rPr>
      </w:pPr>
      <w:r w:rsidRPr="00DE4065">
        <w:rPr>
          <w:rFonts w:ascii="Arial" w:hAnsi="Arial" w:cs="Arial"/>
          <w:sz w:val="20"/>
          <w:szCs w:val="20"/>
        </w:rPr>
        <w:t>Weekly Dundee Oversight Report detailing performance across Partnership services including delayed discharge;</w:t>
      </w:r>
    </w:p>
    <w:p w14:paraId="14874B89" w14:textId="77777777" w:rsidR="00551730" w:rsidRPr="00DE4065" w:rsidRDefault="00551730" w:rsidP="00646CD1">
      <w:pPr>
        <w:pStyle w:val="ListParagraph"/>
        <w:autoSpaceDE w:val="0"/>
        <w:autoSpaceDN w:val="0"/>
        <w:adjustRightInd w:val="0"/>
        <w:ind w:left="1440"/>
        <w:jc w:val="both"/>
        <w:rPr>
          <w:rFonts w:ascii="Arial" w:hAnsi="Arial" w:cs="Arial"/>
          <w:sz w:val="20"/>
          <w:szCs w:val="20"/>
        </w:rPr>
      </w:pPr>
    </w:p>
    <w:p w14:paraId="1739DD52" w14:textId="496CBDAC" w:rsidR="009402FC" w:rsidRPr="00DE4065" w:rsidRDefault="00DE4065" w:rsidP="00646CD1">
      <w:pPr>
        <w:pStyle w:val="ListParagraph"/>
        <w:numPr>
          <w:ilvl w:val="0"/>
          <w:numId w:val="27"/>
        </w:numPr>
        <w:autoSpaceDE w:val="0"/>
        <w:autoSpaceDN w:val="0"/>
        <w:adjustRightInd w:val="0"/>
        <w:ind w:left="1440"/>
        <w:jc w:val="both"/>
        <w:rPr>
          <w:rFonts w:ascii="Arial" w:hAnsi="Arial" w:cs="Arial"/>
          <w:sz w:val="20"/>
          <w:szCs w:val="20"/>
        </w:rPr>
      </w:pPr>
      <w:r>
        <w:rPr>
          <w:rFonts w:ascii="Arial" w:hAnsi="Arial" w:cs="Arial"/>
          <w:sz w:val="20"/>
          <w:szCs w:val="20"/>
        </w:rPr>
        <w:t>W</w:t>
      </w:r>
      <w:r w:rsidR="00415D28" w:rsidRPr="00DE4065">
        <w:rPr>
          <w:rFonts w:ascii="Arial" w:hAnsi="Arial" w:cs="Arial"/>
          <w:sz w:val="20"/>
          <w:szCs w:val="20"/>
        </w:rPr>
        <w:t>eekly Tayside level ‘Discharge Without Delay’ key measurement</w:t>
      </w:r>
      <w:r w:rsidR="5E69F185" w:rsidRPr="00DE4065">
        <w:rPr>
          <w:rFonts w:ascii="Arial" w:hAnsi="Arial" w:cs="Arial"/>
          <w:sz w:val="20"/>
          <w:szCs w:val="20"/>
        </w:rPr>
        <w:t>;</w:t>
      </w:r>
    </w:p>
    <w:p w14:paraId="792A2672" w14:textId="77777777" w:rsidR="00BA142F" w:rsidRPr="00DE4065" w:rsidRDefault="00BA142F" w:rsidP="00646CD1">
      <w:pPr>
        <w:autoSpaceDE w:val="0"/>
        <w:autoSpaceDN w:val="0"/>
        <w:adjustRightInd w:val="0"/>
        <w:ind w:left="371"/>
        <w:jc w:val="both"/>
        <w:rPr>
          <w:rFonts w:ascii="Arial" w:hAnsi="Arial" w:cs="Arial"/>
          <w:sz w:val="20"/>
          <w:szCs w:val="20"/>
        </w:rPr>
      </w:pPr>
    </w:p>
    <w:p w14:paraId="4627DF56" w14:textId="581DD5F8" w:rsidR="00C50943" w:rsidRPr="00DE4065" w:rsidRDefault="0F6ABB6F" w:rsidP="00646CD1">
      <w:pPr>
        <w:pStyle w:val="ListParagraph"/>
        <w:numPr>
          <w:ilvl w:val="0"/>
          <w:numId w:val="27"/>
        </w:numPr>
        <w:autoSpaceDE w:val="0"/>
        <w:autoSpaceDN w:val="0"/>
        <w:adjustRightInd w:val="0"/>
        <w:ind w:left="1440"/>
        <w:jc w:val="both"/>
        <w:rPr>
          <w:rFonts w:ascii="Arial" w:hAnsi="Arial" w:cs="Arial"/>
          <w:sz w:val="20"/>
          <w:szCs w:val="20"/>
        </w:rPr>
      </w:pPr>
      <w:r w:rsidRPr="00DE4065">
        <w:rPr>
          <w:rFonts w:ascii="Arial" w:hAnsi="Arial" w:cs="Arial"/>
          <w:sz w:val="20"/>
          <w:szCs w:val="20"/>
        </w:rPr>
        <w:t>DECAHT performance report</w:t>
      </w:r>
      <w:r w:rsidR="00646CD1">
        <w:rPr>
          <w:rFonts w:ascii="Arial" w:hAnsi="Arial" w:cs="Arial"/>
          <w:sz w:val="20"/>
          <w:szCs w:val="20"/>
        </w:rPr>
        <w:t>; and,</w:t>
      </w:r>
    </w:p>
    <w:p w14:paraId="47A8A8C0" w14:textId="77777777" w:rsidR="00C50943" w:rsidRPr="00DE4065" w:rsidRDefault="00C50943" w:rsidP="00646CD1">
      <w:pPr>
        <w:pStyle w:val="ListParagraph"/>
        <w:autoSpaceDE w:val="0"/>
        <w:autoSpaceDN w:val="0"/>
        <w:adjustRightInd w:val="0"/>
        <w:ind w:left="1440"/>
        <w:jc w:val="both"/>
        <w:rPr>
          <w:rFonts w:ascii="Arial" w:hAnsi="Arial" w:cs="Arial"/>
          <w:sz w:val="20"/>
          <w:szCs w:val="20"/>
        </w:rPr>
      </w:pPr>
    </w:p>
    <w:p w14:paraId="536B11BD" w14:textId="0BA66323" w:rsidR="7391CA60" w:rsidRPr="00DE4065" w:rsidRDefault="7391CA60" w:rsidP="00646CD1">
      <w:pPr>
        <w:pStyle w:val="ListParagraph"/>
        <w:numPr>
          <w:ilvl w:val="0"/>
          <w:numId w:val="27"/>
        </w:numPr>
        <w:ind w:left="1440"/>
        <w:jc w:val="both"/>
        <w:rPr>
          <w:rFonts w:ascii="Arial" w:hAnsi="Arial" w:cs="Arial"/>
          <w:sz w:val="20"/>
          <w:szCs w:val="20"/>
        </w:rPr>
      </w:pPr>
      <w:r w:rsidRPr="00DE4065">
        <w:rPr>
          <w:rFonts w:ascii="Arial" w:hAnsi="Arial" w:cs="Arial"/>
          <w:sz w:val="20"/>
          <w:szCs w:val="20"/>
        </w:rPr>
        <w:t>Community hospital length of stay datapack monthly</w:t>
      </w:r>
      <w:r w:rsidR="00646CD1">
        <w:rPr>
          <w:rFonts w:ascii="Arial" w:hAnsi="Arial" w:cs="Arial"/>
          <w:sz w:val="20"/>
          <w:szCs w:val="20"/>
        </w:rPr>
        <w:t>.</w:t>
      </w:r>
      <w:r w:rsidRPr="00DE4065">
        <w:rPr>
          <w:rFonts w:ascii="Arial" w:hAnsi="Arial" w:cs="Arial"/>
          <w:sz w:val="20"/>
          <w:szCs w:val="20"/>
        </w:rPr>
        <w:t xml:space="preserve"> </w:t>
      </w:r>
    </w:p>
    <w:p w14:paraId="0992ACFD" w14:textId="77777777" w:rsidR="009402FC" w:rsidRPr="00DE4065" w:rsidRDefault="009402FC" w:rsidP="00723988">
      <w:pPr>
        <w:pStyle w:val="ListParagraph"/>
        <w:autoSpaceDE w:val="0"/>
        <w:autoSpaceDN w:val="0"/>
        <w:adjustRightInd w:val="0"/>
        <w:ind w:left="709"/>
        <w:jc w:val="both"/>
        <w:rPr>
          <w:rFonts w:ascii="Arial" w:hAnsi="Arial" w:cs="Arial"/>
          <w:sz w:val="20"/>
          <w:szCs w:val="20"/>
        </w:rPr>
      </w:pPr>
    </w:p>
    <w:p w14:paraId="7C2D255A" w14:textId="128D4A15" w:rsidR="00415D28" w:rsidRPr="00DE4065" w:rsidRDefault="006027FE" w:rsidP="00551730">
      <w:pPr>
        <w:autoSpaceDE w:val="0"/>
        <w:autoSpaceDN w:val="0"/>
        <w:adjustRightInd w:val="0"/>
        <w:ind w:left="709"/>
        <w:jc w:val="both"/>
        <w:rPr>
          <w:rFonts w:ascii="Arial" w:hAnsi="Arial" w:cs="Arial"/>
          <w:sz w:val="20"/>
          <w:szCs w:val="20"/>
        </w:rPr>
      </w:pPr>
      <w:r w:rsidRPr="00DE4065">
        <w:rPr>
          <w:rFonts w:ascii="Arial" w:hAnsi="Arial" w:cs="Arial"/>
          <w:sz w:val="20"/>
          <w:szCs w:val="20"/>
        </w:rPr>
        <w:t xml:space="preserve">In addition, on a </w:t>
      </w:r>
      <w:r w:rsidR="00415D28" w:rsidRPr="00DE4065">
        <w:rPr>
          <w:rFonts w:ascii="Arial" w:hAnsi="Arial" w:cs="Arial"/>
          <w:sz w:val="20"/>
          <w:szCs w:val="20"/>
        </w:rPr>
        <w:t>weekly</w:t>
      </w:r>
      <w:r w:rsidRPr="00DE4065">
        <w:rPr>
          <w:rFonts w:ascii="Arial" w:hAnsi="Arial" w:cs="Arial"/>
          <w:sz w:val="20"/>
          <w:szCs w:val="20"/>
        </w:rPr>
        <w:t xml:space="preserve"> basis a</w:t>
      </w:r>
      <w:r w:rsidR="00415D28" w:rsidRPr="00DE4065">
        <w:rPr>
          <w:rFonts w:ascii="Arial" w:hAnsi="Arial" w:cs="Arial"/>
          <w:sz w:val="20"/>
          <w:szCs w:val="20"/>
        </w:rPr>
        <w:t xml:space="preserve"> snapshot report of </w:t>
      </w:r>
      <w:r w:rsidR="00C83375" w:rsidRPr="00DE4065">
        <w:rPr>
          <w:rFonts w:ascii="Arial" w:hAnsi="Arial" w:cs="Arial"/>
          <w:sz w:val="20"/>
          <w:szCs w:val="20"/>
        </w:rPr>
        <w:t xml:space="preserve">the </w:t>
      </w:r>
      <w:r w:rsidR="00415D28" w:rsidRPr="00DE4065">
        <w:rPr>
          <w:rFonts w:ascii="Arial" w:hAnsi="Arial" w:cs="Arial"/>
          <w:sz w:val="20"/>
          <w:szCs w:val="20"/>
        </w:rPr>
        <w:t>delayed discharge position in Dundee</w:t>
      </w:r>
      <w:r w:rsidRPr="00DE4065">
        <w:rPr>
          <w:rFonts w:ascii="Arial" w:hAnsi="Arial" w:cs="Arial"/>
          <w:sz w:val="20"/>
          <w:szCs w:val="20"/>
        </w:rPr>
        <w:t xml:space="preserve"> is provided to the Dundee Health and Social Care Partnership Chief Officer, the NHS Tayside Chief Operating Officer and other key senior staff across D</w:t>
      </w:r>
      <w:r w:rsidR="00551730" w:rsidRPr="00DE4065">
        <w:rPr>
          <w:rFonts w:ascii="Arial" w:hAnsi="Arial" w:cs="Arial"/>
          <w:sz w:val="20"/>
          <w:szCs w:val="20"/>
        </w:rPr>
        <w:t xml:space="preserve">undee </w:t>
      </w:r>
      <w:r w:rsidRPr="00DE4065">
        <w:rPr>
          <w:rFonts w:ascii="Arial" w:hAnsi="Arial" w:cs="Arial"/>
          <w:sz w:val="20"/>
          <w:szCs w:val="20"/>
        </w:rPr>
        <w:t>H</w:t>
      </w:r>
      <w:r w:rsidR="00551730" w:rsidRPr="00DE4065">
        <w:rPr>
          <w:rFonts w:ascii="Arial" w:hAnsi="Arial" w:cs="Arial"/>
          <w:sz w:val="20"/>
          <w:szCs w:val="20"/>
        </w:rPr>
        <w:t xml:space="preserve">ealth and </w:t>
      </w:r>
      <w:r w:rsidRPr="00DE4065">
        <w:rPr>
          <w:rFonts w:ascii="Arial" w:hAnsi="Arial" w:cs="Arial"/>
          <w:sz w:val="20"/>
          <w:szCs w:val="20"/>
        </w:rPr>
        <w:t>S</w:t>
      </w:r>
      <w:r w:rsidR="00551730" w:rsidRPr="00DE4065">
        <w:rPr>
          <w:rFonts w:ascii="Arial" w:hAnsi="Arial" w:cs="Arial"/>
          <w:sz w:val="20"/>
          <w:szCs w:val="20"/>
        </w:rPr>
        <w:t xml:space="preserve">ocial </w:t>
      </w:r>
      <w:r w:rsidRPr="00DE4065">
        <w:rPr>
          <w:rFonts w:ascii="Arial" w:hAnsi="Arial" w:cs="Arial"/>
          <w:sz w:val="20"/>
          <w:szCs w:val="20"/>
        </w:rPr>
        <w:t>C</w:t>
      </w:r>
      <w:r w:rsidR="00551730" w:rsidRPr="00DE4065">
        <w:rPr>
          <w:rFonts w:ascii="Arial" w:hAnsi="Arial" w:cs="Arial"/>
          <w:sz w:val="20"/>
          <w:szCs w:val="20"/>
        </w:rPr>
        <w:t xml:space="preserve">are </w:t>
      </w:r>
      <w:r w:rsidRPr="00DE4065">
        <w:rPr>
          <w:rFonts w:ascii="Arial" w:hAnsi="Arial" w:cs="Arial"/>
          <w:sz w:val="20"/>
          <w:szCs w:val="20"/>
        </w:rPr>
        <w:t>P</w:t>
      </w:r>
      <w:r w:rsidR="00551730" w:rsidRPr="00DE4065">
        <w:rPr>
          <w:rFonts w:ascii="Arial" w:hAnsi="Arial" w:cs="Arial"/>
          <w:sz w:val="20"/>
          <w:szCs w:val="20"/>
        </w:rPr>
        <w:t>artnership</w:t>
      </w:r>
      <w:r w:rsidRPr="00DE4065">
        <w:rPr>
          <w:rFonts w:ascii="Arial" w:hAnsi="Arial" w:cs="Arial"/>
          <w:sz w:val="20"/>
          <w:szCs w:val="20"/>
        </w:rPr>
        <w:t xml:space="preserve"> and NHS Tayside.  This information is used to maintain an ongoing focus on enabling patients to be discharged from hospital when they are ready as well as to inform improvements. </w:t>
      </w:r>
    </w:p>
    <w:p w14:paraId="555AB6F7" w14:textId="77777777" w:rsidR="004D3310" w:rsidRPr="00DE4065" w:rsidRDefault="004D3310" w:rsidP="00551730">
      <w:pPr>
        <w:autoSpaceDE w:val="0"/>
        <w:autoSpaceDN w:val="0"/>
        <w:adjustRightInd w:val="0"/>
        <w:ind w:left="709"/>
        <w:jc w:val="both"/>
        <w:rPr>
          <w:rFonts w:ascii="Arial" w:hAnsi="Arial" w:cs="Arial"/>
          <w:sz w:val="20"/>
          <w:szCs w:val="20"/>
        </w:rPr>
      </w:pPr>
    </w:p>
    <w:p w14:paraId="41CE6A6B" w14:textId="6DCFA3E7" w:rsidR="003331EC" w:rsidRPr="00DE4065" w:rsidRDefault="00034EC8" w:rsidP="00033F9D">
      <w:pPr>
        <w:ind w:left="709" w:hanging="709"/>
        <w:jc w:val="both"/>
        <w:rPr>
          <w:rFonts w:ascii="Arial" w:hAnsi="Arial" w:cs="Arial"/>
          <w:b/>
          <w:sz w:val="20"/>
          <w:szCs w:val="20"/>
        </w:rPr>
      </w:pPr>
      <w:r w:rsidRPr="00DE4065">
        <w:rPr>
          <w:rFonts w:ascii="Arial" w:hAnsi="Arial" w:cs="Arial"/>
          <w:b/>
          <w:sz w:val="20"/>
          <w:szCs w:val="20"/>
        </w:rPr>
        <w:t>5</w:t>
      </w:r>
      <w:r w:rsidR="00B30B93" w:rsidRPr="00DE4065">
        <w:rPr>
          <w:rFonts w:ascii="Arial" w:hAnsi="Arial" w:cs="Arial"/>
          <w:b/>
          <w:sz w:val="20"/>
          <w:szCs w:val="20"/>
        </w:rPr>
        <w:t>.0</w:t>
      </w:r>
      <w:r w:rsidR="003331EC" w:rsidRPr="00DE4065">
        <w:rPr>
          <w:rFonts w:ascii="Arial" w:hAnsi="Arial" w:cs="Arial"/>
          <w:b/>
          <w:sz w:val="20"/>
          <w:szCs w:val="20"/>
        </w:rPr>
        <w:tab/>
      </w:r>
      <w:r w:rsidRPr="00DE4065">
        <w:rPr>
          <w:rFonts w:ascii="Arial" w:hAnsi="Arial" w:cs="Arial"/>
          <w:b/>
          <w:sz w:val="20"/>
          <w:szCs w:val="20"/>
        </w:rPr>
        <w:t>CURRENT PERFORMANCE</w:t>
      </w:r>
      <w:r w:rsidR="00382DF9" w:rsidRPr="00DE4065">
        <w:rPr>
          <w:rFonts w:ascii="Arial" w:hAnsi="Arial" w:cs="Arial"/>
          <w:b/>
          <w:sz w:val="20"/>
          <w:szCs w:val="20"/>
        </w:rPr>
        <w:t xml:space="preserve"> </w:t>
      </w:r>
      <w:r w:rsidR="00231E78" w:rsidRPr="00DE4065">
        <w:rPr>
          <w:rFonts w:ascii="Arial" w:hAnsi="Arial" w:cs="Arial"/>
          <w:b/>
          <w:sz w:val="20"/>
          <w:szCs w:val="20"/>
        </w:rPr>
        <w:t>TOWARDS NATIONAL INDICATORS</w:t>
      </w:r>
    </w:p>
    <w:p w14:paraId="26D5690F" w14:textId="77777777" w:rsidR="003331EC" w:rsidRPr="00DE4065" w:rsidRDefault="003331EC" w:rsidP="00033F9D">
      <w:pPr>
        <w:tabs>
          <w:tab w:val="left" w:pos="993"/>
        </w:tabs>
        <w:autoSpaceDE w:val="0"/>
        <w:autoSpaceDN w:val="0"/>
        <w:adjustRightInd w:val="0"/>
        <w:ind w:left="709" w:hanging="709"/>
        <w:jc w:val="both"/>
        <w:rPr>
          <w:rFonts w:ascii="Arial" w:hAnsi="Arial" w:cs="Arial"/>
          <w:b/>
          <w:sz w:val="20"/>
          <w:szCs w:val="20"/>
        </w:rPr>
      </w:pPr>
    </w:p>
    <w:p w14:paraId="0071D1EF" w14:textId="437A4099" w:rsidR="00231E78" w:rsidRDefault="00585A34" w:rsidP="00033F9D">
      <w:pPr>
        <w:tabs>
          <w:tab w:val="left" w:pos="993"/>
        </w:tabs>
        <w:autoSpaceDE w:val="0"/>
        <w:autoSpaceDN w:val="0"/>
        <w:adjustRightInd w:val="0"/>
        <w:ind w:left="709" w:hanging="709"/>
        <w:jc w:val="both"/>
        <w:rPr>
          <w:rFonts w:ascii="Arial" w:hAnsi="Arial" w:cs="Arial"/>
          <w:sz w:val="20"/>
          <w:szCs w:val="20"/>
        </w:rPr>
      </w:pPr>
      <w:r w:rsidRPr="00DE4065">
        <w:rPr>
          <w:rFonts w:ascii="Arial" w:hAnsi="Arial" w:cs="Arial"/>
          <w:sz w:val="20"/>
          <w:szCs w:val="20"/>
        </w:rPr>
        <w:t>5.1</w:t>
      </w:r>
      <w:r w:rsidR="00231E78" w:rsidRPr="00DE4065">
        <w:rPr>
          <w:rFonts w:ascii="Arial" w:hAnsi="Arial" w:cs="Arial"/>
          <w:sz w:val="20"/>
          <w:szCs w:val="20"/>
        </w:rPr>
        <w:tab/>
      </w:r>
      <w:r w:rsidR="00C16394" w:rsidRPr="00DE4065">
        <w:rPr>
          <w:rFonts w:ascii="Arial" w:hAnsi="Arial" w:cs="Arial"/>
          <w:sz w:val="20"/>
          <w:szCs w:val="20"/>
        </w:rPr>
        <w:t>The National Indicator is ‘</w:t>
      </w:r>
      <w:r w:rsidR="00231E78" w:rsidRPr="00DE4065">
        <w:rPr>
          <w:rFonts w:ascii="Arial" w:hAnsi="Arial" w:cs="Arial"/>
          <w:sz w:val="20"/>
          <w:szCs w:val="20"/>
        </w:rPr>
        <w:t>Number of days people aged 75+ spend in hospital when they are ready to be discharged, per 1,000 population</w:t>
      </w:r>
      <w:r w:rsidR="00C16394" w:rsidRPr="00DE4065">
        <w:rPr>
          <w:rFonts w:ascii="Arial" w:hAnsi="Arial" w:cs="Arial"/>
          <w:sz w:val="20"/>
          <w:szCs w:val="20"/>
        </w:rPr>
        <w:t>’</w:t>
      </w:r>
      <w:r w:rsidR="00DE4065">
        <w:rPr>
          <w:rFonts w:ascii="Arial" w:hAnsi="Arial" w:cs="Arial"/>
          <w:sz w:val="20"/>
          <w:szCs w:val="20"/>
        </w:rPr>
        <w:t xml:space="preserve"> and the chart below presents the 2023/24 annual performance for every HSCP. </w:t>
      </w:r>
    </w:p>
    <w:p w14:paraId="41F62AA7" w14:textId="77777777" w:rsidR="00C2324D" w:rsidRDefault="00C2324D" w:rsidP="00033F9D">
      <w:pPr>
        <w:tabs>
          <w:tab w:val="left" w:pos="993"/>
        </w:tabs>
        <w:autoSpaceDE w:val="0"/>
        <w:autoSpaceDN w:val="0"/>
        <w:adjustRightInd w:val="0"/>
        <w:ind w:left="709" w:hanging="709"/>
        <w:jc w:val="both"/>
        <w:rPr>
          <w:rFonts w:ascii="Arial" w:hAnsi="Arial" w:cs="Arial"/>
          <w:sz w:val="20"/>
          <w:szCs w:val="20"/>
        </w:rPr>
      </w:pPr>
    </w:p>
    <w:p w14:paraId="175C07B4" w14:textId="77777777" w:rsidR="00742905" w:rsidRDefault="00742905" w:rsidP="00033F9D">
      <w:pPr>
        <w:tabs>
          <w:tab w:val="left" w:pos="993"/>
        </w:tabs>
        <w:autoSpaceDE w:val="0"/>
        <w:autoSpaceDN w:val="0"/>
        <w:adjustRightInd w:val="0"/>
        <w:ind w:left="709" w:hanging="709"/>
        <w:jc w:val="both"/>
        <w:rPr>
          <w:rFonts w:ascii="Arial" w:hAnsi="Arial" w:cs="Arial"/>
          <w:sz w:val="20"/>
          <w:szCs w:val="20"/>
        </w:rPr>
      </w:pPr>
    </w:p>
    <w:p w14:paraId="603B1269" w14:textId="77777777" w:rsidR="00742905" w:rsidRDefault="00742905" w:rsidP="00033F9D">
      <w:pPr>
        <w:tabs>
          <w:tab w:val="left" w:pos="993"/>
        </w:tabs>
        <w:autoSpaceDE w:val="0"/>
        <w:autoSpaceDN w:val="0"/>
        <w:adjustRightInd w:val="0"/>
        <w:ind w:left="709" w:hanging="709"/>
        <w:jc w:val="both"/>
        <w:rPr>
          <w:rFonts w:ascii="Arial" w:hAnsi="Arial" w:cs="Arial"/>
          <w:sz w:val="20"/>
          <w:szCs w:val="20"/>
        </w:rPr>
      </w:pPr>
    </w:p>
    <w:p w14:paraId="7DAFD784" w14:textId="655EDD31" w:rsidR="00231E78" w:rsidRPr="00C2324D" w:rsidRDefault="00C2324D" w:rsidP="00033F9D">
      <w:pPr>
        <w:tabs>
          <w:tab w:val="left" w:pos="993"/>
        </w:tabs>
        <w:autoSpaceDE w:val="0"/>
        <w:autoSpaceDN w:val="0"/>
        <w:adjustRightInd w:val="0"/>
        <w:ind w:left="709" w:hanging="709"/>
        <w:jc w:val="both"/>
        <w:rPr>
          <w:rFonts w:ascii="Arial" w:hAnsi="Arial" w:cs="Arial"/>
          <w:b/>
          <w:bCs/>
          <w:sz w:val="20"/>
          <w:szCs w:val="20"/>
        </w:rPr>
      </w:pPr>
      <w:r>
        <w:rPr>
          <w:rFonts w:ascii="Arial" w:hAnsi="Arial" w:cs="Arial"/>
          <w:sz w:val="20"/>
          <w:szCs w:val="20"/>
        </w:rPr>
        <w:lastRenderedPageBreak/>
        <w:tab/>
      </w:r>
      <w:r w:rsidRPr="00C2324D">
        <w:rPr>
          <w:rFonts w:ascii="Arial" w:hAnsi="Arial" w:cs="Arial"/>
          <w:b/>
          <w:bCs/>
          <w:sz w:val="20"/>
          <w:szCs w:val="20"/>
        </w:rPr>
        <w:t>Chart 1 Number of days people aged 75+ spend in hospital when they are ready to be discharged, per 1,000 population</w:t>
      </w:r>
    </w:p>
    <w:p w14:paraId="642C2449" w14:textId="7414ADF6" w:rsidR="00A10937" w:rsidRPr="00DE4065" w:rsidRDefault="009D1E16" w:rsidP="3EF05A0C">
      <w:pPr>
        <w:tabs>
          <w:tab w:val="left" w:pos="993"/>
        </w:tabs>
        <w:autoSpaceDE w:val="0"/>
        <w:autoSpaceDN w:val="0"/>
        <w:adjustRightInd w:val="0"/>
        <w:ind w:left="709" w:hanging="709"/>
        <w:jc w:val="both"/>
        <w:rPr>
          <w:rFonts w:ascii="Arial" w:hAnsi="Arial" w:cs="Arial"/>
          <w:b/>
          <w:bCs/>
          <w:sz w:val="20"/>
          <w:szCs w:val="20"/>
        </w:rPr>
      </w:pPr>
      <w:r w:rsidRPr="00DE4065">
        <w:rPr>
          <w:rFonts w:ascii="Arial" w:hAnsi="Arial" w:cs="Arial"/>
          <w:noProof/>
          <w:sz w:val="20"/>
          <w:szCs w:val="20"/>
        </w:rPr>
        <w:drawing>
          <wp:inline distT="0" distB="0" distL="0" distR="0" wp14:anchorId="32DCCE6D" wp14:editId="423B72EC">
            <wp:extent cx="6286500" cy="3857625"/>
            <wp:effectExtent l="0" t="0" r="0" b="0"/>
            <wp:docPr id="1938627179"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50F289" w14:textId="271681C8" w:rsidR="00231E78" w:rsidRPr="00DE4065" w:rsidRDefault="00F40E68" w:rsidP="00033F9D">
      <w:pPr>
        <w:autoSpaceDE w:val="0"/>
        <w:autoSpaceDN w:val="0"/>
        <w:adjustRightInd w:val="0"/>
        <w:ind w:left="709" w:hanging="709"/>
        <w:jc w:val="both"/>
        <w:rPr>
          <w:rFonts w:ascii="Arial" w:hAnsi="Arial" w:cs="Arial"/>
          <w:sz w:val="20"/>
          <w:szCs w:val="20"/>
        </w:rPr>
      </w:pPr>
      <w:r w:rsidRPr="00DE4065">
        <w:rPr>
          <w:rFonts w:ascii="Arial" w:hAnsi="Arial" w:cs="Arial"/>
          <w:sz w:val="20"/>
          <w:szCs w:val="20"/>
        </w:rPr>
        <w:t>5.</w:t>
      </w:r>
      <w:r w:rsidR="00231E78" w:rsidRPr="00DE4065">
        <w:rPr>
          <w:rFonts w:ascii="Arial" w:hAnsi="Arial" w:cs="Arial"/>
          <w:sz w:val="20"/>
          <w:szCs w:val="20"/>
        </w:rPr>
        <w:t>2</w:t>
      </w:r>
      <w:r w:rsidR="00231E78" w:rsidRPr="00DE4065">
        <w:rPr>
          <w:rFonts w:ascii="Arial" w:hAnsi="Arial" w:cs="Arial"/>
          <w:sz w:val="20"/>
          <w:szCs w:val="20"/>
        </w:rPr>
        <w:tab/>
        <w:t>Dundee performs well</w:t>
      </w:r>
      <w:r w:rsidR="00A47936" w:rsidRPr="00DE4065">
        <w:rPr>
          <w:rFonts w:ascii="Arial" w:hAnsi="Arial" w:cs="Arial"/>
          <w:sz w:val="20"/>
          <w:szCs w:val="20"/>
        </w:rPr>
        <w:t xml:space="preserve"> </w:t>
      </w:r>
      <w:r w:rsidR="00231E78" w:rsidRPr="00DE4065">
        <w:rPr>
          <w:rFonts w:ascii="Arial" w:hAnsi="Arial" w:cs="Arial"/>
          <w:sz w:val="20"/>
          <w:szCs w:val="20"/>
        </w:rPr>
        <w:t>against the National Indicator and is 6</w:t>
      </w:r>
      <w:r w:rsidR="00231E78" w:rsidRPr="00DE4065">
        <w:rPr>
          <w:rFonts w:ascii="Arial" w:hAnsi="Arial" w:cs="Arial"/>
          <w:sz w:val="20"/>
          <w:szCs w:val="20"/>
          <w:vertAlign w:val="superscript"/>
        </w:rPr>
        <w:t>th</w:t>
      </w:r>
      <w:r w:rsidR="00231E78" w:rsidRPr="00DE4065">
        <w:rPr>
          <w:rFonts w:ascii="Arial" w:hAnsi="Arial" w:cs="Arial"/>
          <w:sz w:val="20"/>
          <w:szCs w:val="20"/>
        </w:rPr>
        <w:t xml:space="preserve"> best in Scotland with a rate of 428 per 1,000 population compared with the Scotland rate of 902 per 1,000 population.</w:t>
      </w:r>
    </w:p>
    <w:p w14:paraId="6D23537E" w14:textId="77777777" w:rsidR="00231E78" w:rsidRPr="00DE4065" w:rsidRDefault="00231E78" w:rsidP="00033F9D">
      <w:pPr>
        <w:autoSpaceDE w:val="0"/>
        <w:autoSpaceDN w:val="0"/>
        <w:adjustRightInd w:val="0"/>
        <w:ind w:left="709" w:hanging="709"/>
        <w:jc w:val="both"/>
        <w:rPr>
          <w:rFonts w:ascii="Arial" w:hAnsi="Arial" w:cs="Arial"/>
          <w:sz w:val="20"/>
          <w:szCs w:val="20"/>
        </w:rPr>
      </w:pPr>
    </w:p>
    <w:p w14:paraId="5EC68377" w14:textId="715E9206" w:rsidR="00231E78" w:rsidRPr="00DE4065" w:rsidRDefault="00231E78" w:rsidP="00033F9D">
      <w:pPr>
        <w:autoSpaceDE w:val="0"/>
        <w:autoSpaceDN w:val="0"/>
        <w:adjustRightInd w:val="0"/>
        <w:ind w:left="709" w:hanging="709"/>
        <w:jc w:val="both"/>
        <w:rPr>
          <w:rFonts w:ascii="Arial" w:hAnsi="Arial" w:cs="Arial"/>
          <w:sz w:val="20"/>
          <w:szCs w:val="20"/>
        </w:rPr>
      </w:pPr>
      <w:r w:rsidRPr="00DE4065">
        <w:rPr>
          <w:rFonts w:ascii="Arial" w:hAnsi="Arial" w:cs="Arial"/>
          <w:sz w:val="20"/>
          <w:szCs w:val="20"/>
        </w:rPr>
        <w:t>5.3</w:t>
      </w:r>
      <w:r w:rsidRPr="00DE4065">
        <w:rPr>
          <w:rFonts w:ascii="Arial" w:hAnsi="Arial" w:cs="Arial"/>
          <w:sz w:val="20"/>
          <w:szCs w:val="20"/>
        </w:rPr>
        <w:tab/>
        <w:t>Longitudinally, Dundee performance has fluctuated but for every year except 2021/22 performance has been better tha</w:t>
      </w:r>
      <w:r w:rsidR="001677E0">
        <w:rPr>
          <w:rFonts w:ascii="Arial" w:hAnsi="Arial" w:cs="Arial"/>
          <w:sz w:val="20"/>
          <w:szCs w:val="20"/>
        </w:rPr>
        <w:t>n</w:t>
      </w:r>
      <w:r w:rsidRPr="00DE4065">
        <w:rPr>
          <w:rFonts w:ascii="Arial" w:hAnsi="Arial" w:cs="Arial"/>
          <w:sz w:val="20"/>
          <w:szCs w:val="20"/>
        </w:rPr>
        <w:t xml:space="preserve"> Scotland</w:t>
      </w:r>
    </w:p>
    <w:p w14:paraId="5F438C19" w14:textId="4E0B5FB6" w:rsidR="3EF05A0C" w:rsidRPr="00DE4065" w:rsidRDefault="3EF05A0C" w:rsidP="3EF05A0C">
      <w:pPr>
        <w:ind w:left="709" w:hanging="709"/>
        <w:jc w:val="both"/>
        <w:rPr>
          <w:rFonts w:ascii="Arial" w:hAnsi="Arial" w:cs="Arial"/>
          <w:sz w:val="20"/>
          <w:szCs w:val="20"/>
        </w:rPr>
      </w:pPr>
    </w:p>
    <w:p w14:paraId="7DD5C269" w14:textId="1FAFD884" w:rsidR="6BBAAA6A" w:rsidRDefault="6BBAAA6A" w:rsidP="3EF05A0C">
      <w:pPr>
        <w:ind w:left="709" w:hanging="709"/>
        <w:jc w:val="both"/>
        <w:rPr>
          <w:rFonts w:ascii="Arial" w:hAnsi="Arial" w:cs="Arial"/>
          <w:sz w:val="20"/>
          <w:szCs w:val="20"/>
        </w:rPr>
      </w:pPr>
      <w:r w:rsidRPr="00DE4065">
        <w:rPr>
          <w:rFonts w:ascii="Arial" w:hAnsi="Arial" w:cs="Arial"/>
          <w:sz w:val="20"/>
          <w:szCs w:val="20"/>
        </w:rPr>
        <w:t xml:space="preserve">5.4     </w:t>
      </w:r>
      <w:r w:rsidR="00DE4065">
        <w:rPr>
          <w:rFonts w:ascii="Arial" w:hAnsi="Arial" w:cs="Arial"/>
          <w:sz w:val="20"/>
          <w:szCs w:val="20"/>
        </w:rPr>
        <w:tab/>
        <w:t xml:space="preserve">Dundee’s performance broken down by LCPPs and complex and non-complex delays is monitored quarterly and included in the PAC Quarterly Performance Reports.  </w:t>
      </w:r>
    </w:p>
    <w:p w14:paraId="467C4E7A" w14:textId="77777777" w:rsidR="00C2324D" w:rsidRDefault="00C2324D" w:rsidP="3EF05A0C">
      <w:pPr>
        <w:ind w:left="709" w:hanging="709"/>
        <w:jc w:val="both"/>
        <w:rPr>
          <w:rFonts w:ascii="Arial" w:hAnsi="Arial" w:cs="Arial"/>
          <w:sz w:val="20"/>
          <w:szCs w:val="20"/>
        </w:rPr>
      </w:pPr>
    </w:p>
    <w:p w14:paraId="653E5BD0" w14:textId="04A95856" w:rsidR="00C2324D" w:rsidRPr="00DE4065" w:rsidRDefault="00C2324D" w:rsidP="3EF05A0C">
      <w:pPr>
        <w:ind w:left="709" w:hanging="709"/>
        <w:jc w:val="both"/>
        <w:rPr>
          <w:rFonts w:ascii="Arial" w:hAnsi="Arial" w:cs="Arial"/>
          <w:sz w:val="20"/>
          <w:szCs w:val="20"/>
        </w:rPr>
      </w:pPr>
      <w:r>
        <w:rPr>
          <w:rFonts w:ascii="Arial" w:hAnsi="Arial" w:cs="Arial"/>
          <w:sz w:val="20"/>
          <w:szCs w:val="20"/>
        </w:rPr>
        <w:t>5.5</w:t>
      </w:r>
      <w:r>
        <w:rPr>
          <w:rFonts w:ascii="Arial" w:hAnsi="Arial" w:cs="Arial"/>
          <w:sz w:val="20"/>
          <w:szCs w:val="20"/>
        </w:rPr>
        <w:tab/>
        <w:t xml:space="preserve">In addition to the National Indicator, HSCPs are monitored against an Indicator agreed by the Ministerial Strategic Group and this monitors the rate of bed days lost per 1,000 of the 18+ population. This data is also monitored quarterly and included in the PAC Quarterly Performance Report.  </w:t>
      </w:r>
    </w:p>
    <w:p w14:paraId="36E7677B" w14:textId="27783053" w:rsidR="00C2324D" w:rsidRDefault="00C2324D">
      <w:pPr>
        <w:rPr>
          <w:rFonts w:ascii="Arial" w:hAnsi="Arial" w:cs="Arial"/>
          <w:b/>
          <w:bCs/>
          <w:sz w:val="20"/>
          <w:szCs w:val="20"/>
        </w:rPr>
      </w:pPr>
    </w:p>
    <w:p w14:paraId="52381CB7" w14:textId="1C3096E9" w:rsidR="00C2324D" w:rsidRPr="00DE4065" w:rsidRDefault="00C2324D" w:rsidP="00C2324D">
      <w:pPr>
        <w:ind w:left="709"/>
        <w:rPr>
          <w:rFonts w:ascii="Arial" w:hAnsi="Arial" w:cs="Arial"/>
          <w:sz w:val="20"/>
          <w:szCs w:val="20"/>
        </w:rPr>
      </w:pPr>
      <w:r w:rsidRPr="00C2324D">
        <w:rPr>
          <w:rFonts w:ascii="Arial" w:hAnsi="Arial" w:cs="Arial"/>
          <w:b/>
          <w:bCs/>
          <w:sz w:val="20"/>
          <w:szCs w:val="20"/>
        </w:rPr>
        <w:t>Chart 2</w:t>
      </w:r>
      <w:r>
        <w:rPr>
          <w:rFonts w:ascii="Arial" w:hAnsi="Arial" w:cs="Arial"/>
          <w:sz w:val="20"/>
          <w:szCs w:val="20"/>
        </w:rPr>
        <w:t xml:space="preserve"> </w:t>
      </w:r>
      <w:r w:rsidRPr="00C2324D">
        <w:rPr>
          <w:rFonts w:ascii="Arial" w:hAnsi="Arial" w:cs="Arial"/>
          <w:b/>
          <w:bCs/>
          <w:sz w:val="20"/>
          <w:szCs w:val="20"/>
        </w:rPr>
        <w:t>Delayed Discharge Bed Days Lost per 1,000 18+ population</w:t>
      </w:r>
      <w:r w:rsidRPr="00DE4065">
        <w:rPr>
          <w:rFonts w:ascii="Arial" w:hAnsi="Arial" w:cs="Arial"/>
          <w:noProof/>
          <w:sz w:val="20"/>
          <w:szCs w:val="20"/>
        </w:rPr>
        <w:drawing>
          <wp:inline distT="0" distB="0" distL="0" distR="0" wp14:anchorId="55875B0B" wp14:editId="2045BC3C">
            <wp:extent cx="5760085" cy="2484523"/>
            <wp:effectExtent l="0" t="0" r="0" b="0"/>
            <wp:docPr id="403628856"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107F0F" w14:textId="77777777" w:rsidR="00C2324D" w:rsidRPr="00DE4065" w:rsidRDefault="00C2324D" w:rsidP="003770E6">
      <w:pPr>
        <w:ind w:left="709"/>
        <w:rPr>
          <w:rFonts w:ascii="Arial" w:hAnsi="Arial" w:cs="Arial"/>
          <w:i/>
          <w:iCs/>
          <w:sz w:val="20"/>
          <w:szCs w:val="20"/>
        </w:rPr>
      </w:pPr>
      <w:r w:rsidRPr="00DE4065">
        <w:rPr>
          <w:rFonts w:ascii="Arial" w:hAnsi="Arial" w:cs="Arial"/>
          <w:i/>
          <w:iCs/>
          <w:sz w:val="20"/>
          <w:szCs w:val="20"/>
        </w:rPr>
        <w:t>Source: PHS Scotland</w:t>
      </w:r>
    </w:p>
    <w:p w14:paraId="24E72C41" w14:textId="77777777" w:rsidR="00C2324D" w:rsidRPr="00DE4065" w:rsidRDefault="00C2324D" w:rsidP="00C2324D">
      <w:pPr>
        <w:autoSpaceDE w:val="0"/>
        <w:autoSpaceDN w:val="0"/>
        <w:adjustRightInd w:val="0"/>
        <w:ind w:left="709" w:hanging="709"/>
        <w:jc w:val="both"/>
        <w:rPr>
          <w:rFonts w:ascii="Arial" w:hAnsi="Arial" w:cs="Arial"/>
          <w:sz w:val="20"/>
          <w:szCs w:val="20"/>
        </w:rPr>
      </w:pPr>
    </w:p>
    <w:p w14:paraId="5399903B" w14:textId="77777777" w:rsidR="00C2324D" w:rsidRPr="00DE4065" w:rsidRDefault="00C2324D" w:rsidP="00C2324D">
      <w:pPr>
        <w:autoSpaceDE w:val="0"/>
        <w:autoSpaceDN w:val="0"/>
        <w:adjustRightInd w:val="0"/>
        <w:ind w:left="709" w:hanging="709"/>
        <w:jc w:val="both"/>
        <w:rPr>
          <w:rFonts w:ascii="Arial" w:hAnsi="Arial" w:cs="Arial"/>
          <w:sz w:val="20"/>
          <w:szCs w:val="20"/>
        </w:rPr>
      </w:pPr>
    </w:p>
    <w:p w14:paraId="1CFE2DA8" w14:textId="77777777" w:rsidR="00C2324D" w:rsidRPr="00DE4065" w:rsidRDefault="00C2324D" w:rsidP="00C2324D">
      <w:pPr>
        <w:autoSpaceDE w:val="0"/>
        <w:autoSpaceDN w:val="0"/>
        <w:adjustRightInd w:val="0"/>
        <w:ind w:left="709" w:hanging="709"/>
        <w:jc w:val="both"/>
        <w:rPr>
          <w:rFonts w:ascii="Arial" w:hAnsi="Arial" w:cs="Arial"/>
          <w:sz w:val="20"/>
          <w:szCs w:val="20"/>
        </w:rPr>
      </w:pPr>
    </w:p>
    <w:p w14:paraId="5E2A4425" w14:textId="0587EEA6" w:rsidR="00C2324D" w:rsidRPr="00DE4065" w:rsidRDefault="00C2324D" w:rsidP="00C2324D">
      <w:pPr>
        <w:ind w:left="709" w:hanging="709"/>
        <w:rPr>
          <w:rFonts w:ascii="Arial" w:hAnsi="Arial" w:cs="Arial"/>
          <w:noProof/>
          <w:sz w:val="20"/>
          <w:szCs w:val="20"/>
        </w:rPr>
      </w:pPr>
      <w:r>
        <w:rPr>
          <w:rFonts w:ascii="Arial" w:hAnsi="Arial" w:cs="Arial"/>
          <w:sz w:val="20"/>
          <w:szCs w:val="20"/>
        </w:rPr>
        <w:t>5.6</w:t>
      </w:r>
      <w:r w:rsidRPr="00DE4065">
        <w:rPr>
          <w:rFonts w:ascii="Arial" w:hAnsi="Arial" w:cs="Arial"/>
          <w:sz w:val="20"/>
          <w:szCs w:val="20"/>
        </w:rPr>
        <w:tab/>
      </w:r>
      <w:r>
        <w:rPr>
          <w:rFonts w:ascii="Arial" w:hAnsi="Arial" w:cs="Arial"/>
          <w:sz w:val="20"/>
          <w:szCs w:val="20"/>
        </w:rPr>
        <w:t>Comparing 2023/24 performance with the</w:t>
      </w:r>
      <w:r w:rsidRPr="00DE4065">
        <w:rPr>
          <w:rFonts w:ascii="Arial" w:hAnsi="Arial" w:cs="Arial"/>
          <w:sz w:val="20"/>
          <w:szCs w:val="20"/>
        </w:rPr>
        <w:t xml:space="preserve"> 2018/19 baseline</w:t>
      </w:r>
      <w:r>
        <w:rPr>
          <w:rFonts w:ascii="Arial" w:hAnsi="Arial" w:cs="Arial"/>
          <w:sz w:val="20"/>
          <w:szCs w:val="20"/>
        </w:rPr>
        <w:t xml:space="preserve"> shows </w:t>
      </w:r>
      <w:r w:rsidRPr="00DE4065">
        <w:rPr>
          <w:rFonts w:ascii="Arial" w:hAnsi="Arial" w:cs="Arial"/>
          <w:sz w:val="20"/>
          <w:szCs w:val="20"/>
        </w:rPr>
        <w:t xml:space="preserve">a deterioration in performance. However, </w:t>
      </w:r>
      <w:r>
        <w:rPr>
          <w:rFonts w:ascii="Arial" w:hAnsi="Arial" w:cs="Arial"/>
          <w:sz w:val="20"/>
          <w:szCs w:val="20"/>
        </w:rPr>
        <w:t xml:space="preserve">the rate of </w:t>
      </w:r>
      <w:r w:rsidRPr="00DE4065">
        <w:rPr>
          <w:rFonts w:ascii="Arial" w:hAnsi="Arial" w:cs="Arial"/>
          <w:sz w:val="20"/>
          <w:szCs w:val="20"/>
        </w:rPr>
        <w:t xml:space="preserve">bed days lost </w:t>
      </w:r>
      <w:r>
        <w:rPr>
          <w:rFonts w:ascii="Arial" w:hAnsi="Arial" w:cs="Arial"/>
          <w:sz w:val="20"/>
          <w:szCs w:val="20"/>
        </w:rPr>
        <w:t>improved between 2022/23 and 2023/24 and at 2023/24 performance was</w:t>
      </w:r>
      <w:r w:rsidRPr="00DE4065">
        <w:rPr>
          <w:rFonts w:ascii="Arial" w:hAnsi="Arial" w:cs="Arial"/>
          <w:sz w:val="20"/>
          <w:szCs w:val="20"/>
        </w:rPr>
        <w:t xml:space="preserve"> back to pre-Covid rates and </w:t>
      </w:r>
      <w:r>
        <w:rPr>
          <w:rFonts w:ascii="Arial" w:hAnsi="Arial" w:cs="Arial"/>
          <w:sz w:val="20"/>
          <w:szCs w:val="20"/>
        </w:rPr>
        <w:t>was</w:t>
      </w:r>
      <w:r w:rsidRPr="00DE4065">
        <w:rPr>
          <w:rFonts w:ascii="Arial" w:hAnsi="Arial" w:cs="Arial"/>
          <w:sz w:val="20"/>
          <w:szCs w:val="20"/>
        </w:rPr>
        <w:t xml:space="preserve"> less than half the national position. </w:t>
      </w:r>
    </w:p>
    <w:p w14:paraId="0E7D6A6C" w14:textId="77777777" w:rsidR="00C2324D" w:rsidRDefault="00C2324D">
      <w:pPr>
        <w:rPr>
          <w:rFonts w:ascii="Arial" w:hAnsi="Arial" w:cs="Arial"/>
          <w:b/>
          <w:bCs/>
          <w:sz w:val="20"/>
          <w:szCs w:val="20"/>
          <w:lang w:eastAsia="en-US"/>
        </w:rPr>
      </w:pPr>
    </w:p>
    <w:p w14:paraId="4325BE3A" w14:textId="3812069C" w:rsidR="48DD080C" w:rsidRPr="00DE4065" w:rsidRDefault="32F63C0F" w:rsidP="3EF05A0C">
      <w:pPr>
        <w:ind w:left="709" w:hanging="709"/>
        <w:rPr>
          <w:rFonts w:ascii="Arial" w:hAnsi="Arial" w:cs="Arial"/>
          <w:b/>
          <w:bCs/>
          <w:sz w:val="20"/>
          <w:szCs w:val="20"/>
          <w:lang w:eastAsia="en-US"/>
        </w:rPr>
      </w:pPr>
      <w:r w:rsidRPr="00DE4065">
        <w:rPr>
          <w:rFonts w:ascii="Arial" w:hAnsi="Arial" w:cs="Arial"/>
          <w:b/>
          <w:bCs/>
          <w:sz w:val="20"/>
          <w:szCs w:val="20"/>
          <w:lang w:eastAsia="en-US"/>
        </w:rPr>
        <w:t xml:space="preserve">6.0      </w:t>
      </w:r>
      <w:r w:rsidR="48DD080C" w:rsidRPr="00DE4065">
        <w:rPr>
          <w:rFonts w:ascii="Arial" w:hAnsi="Arial" w:cs="Arial"/>
          <w:b/>
          <w:bCs/>
          <w:sz w:val="20"/>
          <w:szCs w:val="20"/>
          <w:lang w:eastAsia="en-US"/>
        </w:rPr>
        <w:t xml:space="preserve">Average </w:t>
      </w:r>
      <w:r w:rsidR="00BD2CC6" w:rsidRPr="00DE4065">
        <w:rPr>
          <w:rFonts w:ascii="Arial" w:hAnsi="Arial" w:cs="Arial"/>
          <w:b/>
          <w:bCs/>
          <w:sz w:val="20"/>
          <w:szCs w:val="20"/>
          <w:lang w:eastAsia="en-US"/>
        </w:rPr>
        <w:t>Duration of Delay</w:t>
      </w:r>
    </w:p>
    <w:p w14:paraId="49EA60AA" w14:textId="77777777" w:rsidR="3EF05A0C" w:rsidRPr="00DE4065" w:rsidRDefault="3EF05A0C" w:rsidP="3EF05A0C">
      <w:pPr>
        <w:ind w:left="709" w:hanging="709"/>
        <w:rPr>
          <w:rFonts w:ascii="Arial" w:hAnsi="Arial" w:cs="Arial"/>
          <w:b/>
          <w:bCs/>
          <w:sz w:val="20"/>
          <w:szCs w:val="20"/>
          <w:lang w:eastAsia="en-US"/>
        </w:rPr>
      </w:pPr>
    </w:p>
    <w:p w14:paraId="1971FB18" w14:textId="77777777" w:rsidR="00DE4065" w:rsidRDefault="30665FD4" w:rsidP="00DE4065">
      <w:pPr>
        <w:rPr>
          <w:rFonts w:ascii="Arial" w:hAnsi="Arial" w:cs="Arial"/>
          <w:sz w:val="20"/>
          <w:szCs w:val="20"/>
          <w:lang w:eastAsia="en-US"/>
        </w:rPr>
      </w:pPr>
      <w:r w:rsidRPr="00DE4065">
        <w:rPr>
          <w:rFonts w:ascii="Arial" w:hAnsi="Arial" w:cs="Arial"/>
          <w:sz w:val="20"/>
          <w:szCs w:val="20"/>
          <w:lang w:eastAsia="en-US"/>
        </w:rPr>
        <w:t>6.1</w:t>
      </w:r>
      <w:r w:rsidR="3F4FE901" w:rsidRPr="00DE4065">
        <w:rPr>
          <w:rFonts w:ascii="Arial" w:hAnsi="Arial" w:cs="Arial"/>
          <w:sz w:val="20"/>
          <w:szCs w:val="20"/>
          <w:lang w:eastAsia="en-US"/>
        </w:rPr>
        <w:t xml:space="preserve">      </w:t>
      </w:r>
      <w:r w:rsidR="48DD080C" w:rsidRPr="00DE4065">
        <w:rPr>
          <w:rFonts w:ascii="Arial" w:hAnsi="Arial" w:cs="Arial"/>
          <w:sz w:val="20"/>
          <w:szCs w:val="20"/>
          <w:lang w:eastAsia="en-US"/>
        </w:rPr>
        <w:t>As part of the further development of monitoring and reporting data</w:t>
      </w:r>
      <w:r w:rsidR="3E9EA029" w:rsidRPr="00DE4065">
        <w:rPr>
          <w:rFonts w:ascii="Arial" w:hAnsi="Arial" w:cs="Arial"/>
          <w:sz w:val="20"/>
          <w:szCs w:val="20"/>
          <w:lang w:eastAsia="en-US"/>
        </w:rPr>
        <w:t>,</w:t>
      </w:r>
      <w:r w:rsidR="48DD080C" w:rsidRPr="00DE4065">
        <w:rPr>
          <w:rFonts w:ascii="Arial" w:hAnsi="Arial" w:cs="Arial"/>
          <w:sz w:val="20"/>
          <w:szCs w:val="20"/>
          <w:lang w:eastAsia="en-US"/>
        </w:rPr>
        <w:t xml:space="preserve"> current analysis is focusing</w:t>
      </w:r>
    </w:p>
    <w:p w14:paraId="0C0D764B" w14:textId="26DD78DA" w:rsidR="48DD080C" w:rsidRPr="00DE4065" w:rsidRDefault="48DD080C" w:rsidP="00DE4065">
      <w:pPr>
        <w:ind w:firstLine="709"/>
        <w:rPr>
          <w:rFonts w:ascii="Arial" w:hAnsi="Arial" w:cs="Arial"/>
          <w:sz w:val="20"/>
          <w:szCs w:val="20"/>
          <w:lang w:eastAsia="en-US"/>
        </w:rPr>
      </w:pPr>
      <w:r w:rsidRPr="00DE4065">
        <w:rPr>
          <w:rFonts w:ascii="Arial" w:hAnsi="Arial" w:cs="Arial"/>
          <w:sz w:val="20"/>
          <w:szCs w:val="20"/>
          <w:lang w:eastAsia="en-US"/>
        </w:rPr>
        <w:t xml:space="preserve">on the average </w:t>
      </w:r>
      <w:r w:rsidR="004E2CB4" w:rsidRPr="00DE4065">
        <w:rPr>
          <w:rFonts w:ascii="Arial" w:hAnsi="Arial" w:cs="Arial"/>
          <w:sz w:val="20"/>
          <w:szCs w:val="20"/>
          <w:lang w:eastAsia="en-US"/>
        </w:rPr>
        <w:t xml:space="preserve">duration of delay based on type, age group and </w:t>
      </w:r>
      <w:r w:rsidR="007D6881" w:rsidRPr="00DE4065">
        <w:rPr>
          <w:rFonts w:ascii="Arial" w:hAnsi="Arial" w:cs="Arial"/>
          <w:sz w:val="20"/>
          <w:szCs w:val="20"/>
          <w:lang w:eastAsia="en-US"/>
        </w:rPr>
        <w:t xml:space="preserve">location. </w:t>
      </w:r>
    </w:p>
    <w:p w14:paraId="63B5EBA1" w14:textId="640644E2" w:rsidR="3EF05A0C" w:rsidRPr="00DE4065" w:rsidRDefault="3EF05A0C" w:rsidP="3EF05A0C">
      <w:pPr>
        <w:ind w:left="709" w:hanging="709"/>
        <w:rPr>
          <w:rFonts w:ascii="Arial" w:hAnsi="Arial" w:cs="Arial"/>
          <w:sz w:val="20"/>
          <w:szCs w:val="20"/>
          <w:lang w:eastAsia="en-US"/>
        </w:rPr>
      </w:pPr>
    </w:p>
    <w:p w14:paraId="65A53926" w14:textId="51835546" w:rsidR="48DD080C" w:rsidRPr="00DE4065" w:rsidRDefault="00C2324D" w:rsidP="00C2324D">
      <w:pPr>
        <w:ind w:firstLine="709"/>
        <w:rPr>
          <w:rFonts w:ascii="Arial" w:hAnsi="Arial" w:cs="Arial"/>
          <w:b/>
          <w:bCs/>
          <w:sz w:val="20"/>
          <w:szCs w:val="20"/>
          <w:lang w:eastAsia="en-US"/>
        </w:rPr>
      </w:pPr>
      <w:r>
        <w:rPr>
          <w:rFonts w:ascii="Arial" w:hAnsi="Arial" w:cs="Arial"/>
          <w:b/>
          <w:bCs/>
          <w:sz w:val="20"/>
          <w:szCs w:val="20"/>
          <w:lang w:eastAsia="en-US"/>
        </w:rPr>
        <w:t xml:space="preserve">Chart 3 </w:t>
      </w:r>
      <w:r w:rsidR="00D97DE8" w:rsidRPr="00DE4065">
        <w:rPr>
          <w:rFonts w:ascii="Arial" w:hAnsi="Arial" w:cs="Arial"/>
          <w:b/>
          <w:bCs/>
          <w:sz w:val="20"/>
          <w:szCs w:val="20"/>
          <w:lang w:eastAsia="en-US"/>
        </w:rPr>
        <w:t>Average</w:t>
      </w:r>
      <w:r w:rsidR="00336ED0" w:rsidRPr="00DE4065">
        <w:rPr>
          <w:rFonts w:ascii="Arial" w:hAnsi="Arial" w:cs="Arial"/>
          <w:b/>
          <w:bCs/>
          <w:sz w:val="20"/>
          <w:szCs w:val="20"/>
          <w:lang w:eastAsia="en-US"/>
        </w:rPr>
        <w:t xml:space="preserve"> Duration o</w:t>
      </w:r>
      <w:r w:rsidR="00D97DE8" w:rsidRPr="00DE4065">
        <w:rPr>
          <w:rFonts w:ascii="Arial" w:hAnsi="Arial" w:cs="Arial"/>
          <w:b/>
          <w:bCs/>
          <w:sz w:val="20"/>
          <w:szCs w:val="20"/>
          <w:lang w:eastAsia="en-US"/>
        </w:rPr>
        <w:t xml:space="preserve">f Delay by Age Group </w:t>
      </w:r>
      <w:r w:rsidR="00C46176">
        <w:rPr>
          <w:rFonts w:ascii="Arial" w:hAnsi="Arial" w:cs="Arial"/>
          <w:b/>
          <w:bCs/>
          <w:sz w:val="20"/>
          <w:szCs w:val="20"/>
          <w:lang w:eastAsia="en-US"/>
        </w:rPr>
        <w:t>in Days</w:t>
      </w:r>
    </w:p>
    <w:p w14:paraId="6CA35E59" w14:textId="77777777" w:rsidR="3EF05A0C" w:rsidRPr="00DE4065" w:rsidRDefault="3EF05A0C" w:rsidP="3EF05A0C">
      <w:pPr>
        <w:ind w:left="709" w:hanging="709"/>
        <w:rPr>
          <w:rFonts w:ascii="Arial" w:hAnsi="Arial" w:cs="Arial"/>
          <w:b/>
          <w:bCs/>
          <w:sz w:val="20"/>
          <w:szCs w:val="20"/>
          <w:lang w:eastAsia="en-US"/>
        </w:rPr>
      </w:pPr>
    </w:p>
    <w:p w14:paraId="74B03909" w14:textId="3D188F3E" w:rsidR="00DA0C08" w:rsidRDefault="00C46176" w:rsidP="00CF4F67">
      <w:pPr>
        <w:ind w:left="709"/>
        <w:rPr>
          <w:rFonts w:ascii="Arial" w:hAnsi="Arial" w:cs="Arial"/>
          <w:sz w:val="20"/>
          <w:szCs w:val="20"/>
          <w:lang w:eastAsia="en-US"/>
        </w:rPr>
      </w:pPr>
      <w:r>
        <w:rPr>
          <w:noProof/>
        </w:rPr>
        <w:drawing>
          <wp:inline distT="0" distB="0" distL="0" distR="0" wp14:anchorId="723C023B" wp14:editId="25A247C8">
            <wp:extent cx="5791200" cy="2390775"/>
            <wp:effectExtent l="0" t="0" r="0" b="0"/>
            <wp:docPr id="551243051" name="Chart 1">
              <a:extLst xmlns:a="http://schemas.openxmlformats.org/drawingml/2006/main">
                <a:ext uri="{FF2B5EF4-FFF2-40B4-BE49-F238E27FC236}">
                  <a16:creationId xmlns:a16="http://schemas.microsoft.com/office/drawing/2014/main" id="{4DCE7DED-AEB8-51B7-5138-4B08DB1F4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FD60B9" w14:textId="77777777" w:rsidR="00DA0C08" w:rsidRDefault="00DA0C08" w:rsidP="00CF4F67">
      <w:pPr>
        <w:ind w:left="709"/>
        <w:rPr>
          <w:rFonts w:ascii="Arial" w:hAnsi="Arial" w:cs="Arial"/>
          <w:sz w:val="20"/>
          <w:szCs w:val="20"/>
          <w:lang w:eastAsia="en-US"/>
        </w:rPr>
      </w:pPr>
    </w:p>
    <w:p w14:paraId="325693D1" w14:textId="27890123" w:rsidR="543A267D" w:rsidRPr="00DE4065" w:rsidRDefault="7EC7565F" w:rsidP="00CF4F67">
      <w:pPr>
        <w:ind w:left="709"/>
        <w:rPr>
          <w:rFonts w:ascii="Arial" w:hAnsi="Arial" w:cs="Arial"/>
          <w:sz w:val="20"/>
          <w:szCs w:val="20"/>
          <w:lang w:eastAsia="en-US"/>
        </w:rPr>
      </w:pPr>
      <w:r w:rsidRPr="00DE4065">
        <w:rPr>
          <w:rFonts w:ascii="Arial" w:hAnsi="Arial" w:cs="Arial"/>
          <w:sz w:val="20"/>
          <w:szCs w:val="20"/>
          <w:lang w:eastAsia="en-US"/>
        </w:rPr>
        <w:t>Source: Health and Business Intelligence Unit NHS Tayside</w:t>
      </w:r>
    </w:p>
    <w:p w14:paraId="3FAECC93" w14:textId="77777777" w:rsidR="004D3310" w:rsidRPr="00DE4065" w:rsidRDefault="004D3310" w:rsidP="543A267D">
      <w:pPr>
        <w:ind w:left="709" w:hanging="709"/>
        <w:rPr>
          <w:rFonts w:ascii="Arial" w:hAnsi="Arial" w:cs="Arial"/>
          <w:b/>
          <w:sz w:val="20"/>
          <w:szCs w:val="20"/>
          <w:lang w:eastAsia="en-US"/>
        </w:rPr>
      </w:pPr>
    </w:p>
    <w:p w14:paraId="6B9FAA6D" w14:textId="1671100E" w:rsidR="48DD080C" w:rsidRPr="00DE4065" w:rsidRDefault="00EE3B03" w:rsidP="3AC46FFF">
      <w:pPr>
        <w:ind w:left="709" w:hanging="709"/>
        <w:rPr>
          <w:rFonts w:ascii="Arial" w:hAnsi="Arial" w:cs="Arial"/>
          <w:sz w:val="20"/>
          <w:szCs w:val="20"/>
          <w:lang w:eastAsia="en-US"/>
        </w:rPr>
      </w:pPr>
      <w:r w:rsidRPr="00DE4065">
        <w:rPr>
          <w:rFonts w:ascii="Arial" w:hAnsi="Arial" w:cs="Arial"/>
          <w:sz w:val="20"/>
          <w:szCs w:val="20"/>
          <w:lang w:eastAsia="en-US"/>
        </w:rPr>
        <w:t>6.2</w:t>
      </w:r>
      <w:r w:rsidRPr="00DE4065">
        <w:rPr>
          <w:rFonts w:ascii="Arial" w:hAnsi="Arial" w:cs="Arial"/>
          <w:sz w:val="20"/>
          <w:szCs w:val="20"/>
        </w:rPr>
        <w:tab/>
      </w:r>
      <w:r w:rsidR="00C2324D">
        <w:rPr>
          <w:rFonts w:ascii="Arial" w:hAnsi="Arial" w:cs="Arial"/>
          <w:sz w:val="20"/>
          <w:szCs w:val="20"/>
          <w:lang w:eastAsia="en-US"/>
        </w:rPr>
        <w:t>Chart 3</w:t>
      </w:r>
      <w:r w:rsidR="00BE0F0B" w:rsidRPr="00DE4065">
        <w:rPr>
          <w:rFonts w:ascii="Arial" w:hAnsi="Arial" w:cs="Arial"/>
          <w:sz w:val="20"/>
          <w:szCs w:val="20"/>
          <w:lang w:eastAsia="en-US"/>
        </w:rPr>
        <w:t xml:space="preserve"> </w:t>
      </w:r>
      <w:r w:rsidR="00010AE3" w:rsidRPr="00DE4065">
        <w:rPr>
          <w:rFonts w:ascii="Arial" w:hAnsi="Arial" w:cs="Arial"/>
          <w:sz w:val="20"/>
          <w:szCs w:val="20"/>
          <w:lang w:eastAsia="en-US"/>
        </w:rPr>
        <w:t>illustrates</w:t>
      </w:r>
      <w:r w:rsidR="00BE0F0B" w:rsidRPr="00DE4065">
        <w:rPr>
          <w:rFonts w:ascii="Arial" w:hAnsi="Arial" w:cs="Arial"/>
          <w:sz w:val="20"/>
          <w:szCs w:val="20"/>
          <w:lang w:eastAsia="en-US"/>
        </w:rPr>
        <w:t xml:space="preserve"> th</w:t>
      </w:r>
      <w:r w:rsidR="002A597C" w:rsidRPr="00DE4065">
        <w:rPr>
          <w:rFonts w:ascii="Arial" w:hAnsi="Arial" w:cs="Arial"/>
          <w:sz w:val="20"/>
          <w:szCs w:val="20"/>
          <w:lang w:eastAsia="en-US"/>
        </w:rPr>
        <w:t>e</w:t>
      </w:r>
      <w:r w:rsidR="00BE0F0B" w:rsidRPr="00DE4065">
        <w:rPr>
          <w:rFonts w:ascii="Arial" w:hAnsi="Arial" w:cs="Arial"/>
          <w:sz w:val="20"/>
          <w:szCs w:val="20"/>
          <w:lang w:eastAsia="en-US"/>
        </w:rPr>
        <w:t xml:space="preserve"> average length of delay per month.  </w:t>
      </w:r>
      <w:r w:rsidR="00010AE3" w:rsidRPr="00DE4065">
        <w:rPr>
          <w:rFonts w:ascii="Arial" w:hAnsi="Arial" w:cs="Arial"/>
          <w:sz w:val="20"/>
          <w:szCs w:val="20"/>
          <w:lang w:eastAsia="en-US"/>
        </w:rPr>
        <w:t>Using the data available between June 2023</w:t>
      </w:r>
      <w:r w:rsidR="0084427B">
        <w:rPr>
          <w:rFonts w:ascii="Arial" w:hAnsi="Arial" w:cs="Arial"/>
          <w:sz w:val="20"/>
          <w:szCs w:val="20"/>
          <w:lang w:eastAsia="en-US"/>
        </w:rPr>
        <w:t xml:space="preserve"> and June </w:t>
      </w:r>
      <w:r w:rsidR="00010AE3" w:rsidRPr="00DE4065">
        <w:rPr>
          <w:rFonts w:ascii="Arial" w:hAnsi="Arial" w:cs="Arial"/>
          <w:sz w:val="20"/>
          <w:szCs w:val="20"/>
          <w:lang w:eastAsia="en-US"/>
        </w:rPr>
        <w:t>24</w:t>
      </w:r>
      <w:r w:rsidR="00313D39" w:rsidRPr="00DE4065">
        <w:rPr>
          <w:rFonts w:ascii="Arial" w:hAnsi="Arial" w:cs="Arial"/>
          <w:sz w:val="20"/>
          <w:szCs w:val="20"/>
          <w:lang w:eastAsia="en-US"/>
        </w:rPr>
        <w:t>,</w:t>
      </w:r>
      <w:r w:rsidR="00B17299" w:rsidRPr="00DE4065">
        <w:rPr>
          <w:rFonts w:ascii="Arial" w:hAnsi="Arial" w:cs="Arial"/>
          <w:sz w:val="20"/>
          <w:szCs w:val="20"/>
          <w:lang w:eastAsia="en-US"/>
        </w:rPr>
        <w:t xml:space="preserve"> the</w:t>
      </w:r>
      <w:r w:rsidR="48DD080C" w:rsidRPr="00DE4065">
        <w:rPr>
          <w:rFonts w:ascii="Arial" w:hAnsi="Arial" w:cs="Arial"/>
          <w:sz w:val="20"/>
          <w:szCs w:val="20"/>
          <w:lang w:eastAsia="en-US"/>
        </w:rPr>
        <w:t xml:space="preserve"> average length of delay for people under 75 i</w:t>
      </w:r>
      <w:r w:rsidR="00607589" w:rsidRPr="00DE4065">
        <w:rPr>
          <w:rFonts w:ascii="Arial" w:hAnsi="Arial" w:cs="Arial"/>
          <w:sz w:val="20"/>
          <w:szCs w:val="20"/>
          <w:lang w:eastAsia="en-US"/>
        </w:rPr>
        <w:t>s</w:t>
      </w:r>
      <w:r w:rsidR="0084427B">
        <w:rPr>
          <w:rFonts w:ascii="Arial" w:hAnsi="Arial" w:cs="Arial"/>
          <w:sz w:val="20"/>
          <w:szCs w:val="20"/>
          <w:lang w:eastAsia="en-US"/>
        </w:rPr>
        <w:t xml:space="preserve"> 52</w:t>
      </w:r>
      <w:r w:rsidR="00607589" w:rsidRPr="00DE4065">
        <w:rPr>
          <w:rFonts w:ascii="Arial" w:hAnsi="Arial" w:cs="Arial"/>
          <w:sz w:val="20"/>
          <w:szCs w:val="20"/>
          <w:lang w:eastAsia="en-US"/>
        </w:rPr>
        <w:t xml:space="preserve"> days.</w:t>
      </w:r>
      <w:r w:rsidR="00D002C4" w:rsidRPr="00DE4065">
        <w:rPr>
          <w:rFonts w:ascii="Arial" w:hAnsi="Arial" w:cs="Arial"/>
          <w:sz w:val="20"/>
          <w:szCs w:val="20"/>
          <w:lang w:eastAsia="en-US"/>
        </w:rPr>
        <w:t xml:space="preserve"> This reflects the complexity often associated in the younger adult inpatient population, particularly within General Adult Psychiatry and Learning Disability. </w:t>
      </w:r>
      <w:r w:rsidR="36B76CB2" w:rsidRPr="00DE4065">
        <w:rPr>
          <w:rFonts w:ascii="Arial" w:hAnsi="Arial" w:cs="Arial"/>
          <w:sz w:val="20"/>
          <w:szCs w:val="20"/>
          <w:lang w:eastAsia="en-US"/>
        </w:rPr>
        <w:t xml:space="preserve">Of note </w:t>
      </w:r>
      <w:r w:rsidR="0084427B">
        <w:rPr>
          <w:rFonts w:ascii="Arial" w:hAnsi="Arial" w:cs="Arial"/>
          <w:sz w:val="20"/>
          <w:szCs w:val="20"/>
          <w:lang w:eastAsia="en-US"/>
        </w:rPr>
        <w:t xml:space="preserve">there </w:t>
      </w:r>
      <w:r w:rsidR="36B76CB2" w:rsidRPr="00DE4065">
        <w:rPr>
          <w:rFonts w:ascii="Arial" w:hAnsi="Arial" w:cs="Arial"/>
          <w:sz w:val="20"/>
          <w:szCs w:val="20"/>
          <w:lang w:eastAsia="en-US"/>
        </w:rPr>
        <w:t xml:space="preserve">also is an increase in younger adults in the acute hospital who have more complex needs and therefore longer delay. </w:t>
      </w:r>
    </w:p>
    <w:p w14:paraId="6471186A" w14:textId="77777777" w:rsidR="3EF05A0C" w:rsidRPr="00DE4065" w:rsidRDefault="3EF05A0C" w:rsidP="3EF05A0C">
      <w:pPr>
        <w:ind w:left="709" w:hanging="709"/>
        <w:rPr>
          <w:rFonts w:ascii="Arial" w:hAnsi="Arial" w:cs="Arial"/>
          <w:sz w:val="20"/>
          <w:szCs w:val="20"/>
          <w:lang w:eastAsia="en-US"/>
        </w:rPr>
      </w:pPr>
    </w:p>
    <w:p w14:paraId="6A88D849" w14:textId="77777777" w:rsidR="00C2324D" w:rsidRDefault="00B152F0" w:rsidP="00C2324D">
      <w:pPr>
        <w:ind w:left="709" w:hanging="709"/>
        <w:rPr>
          <w:rFonts w:ascii="Arial" w:hAnsi="Arial" w:cs="Arial"/>
          <w:sz w:val="20"/>
          <w:szCs w:val="20"/>
          <w:lang w:eastAsia="en-US"/>
        </w:rPr>
      </w:pPr>
      <w:r w:rsidRPr="00DE4065">
        <w:rPr>
          <w:rFonts w:ascii="Arial" w:hAnsi="Arial" w:cs="Arial"/>
          <w:sz w:val="20"/>
          <w:szCs w:val="20"/>
          <w:lang w:eastAsia="en-US"/>
        </w:rPr>
        <w:t>6.3</w:t>
      </w:r>
      <w:r w:rsidRPr="00DE4065">
        <w:rPr>
          <w:rFonts w:ascii="Arial" w:hAnsi="Arial" w:cs="Arial"/>
          <w:sz w:val="20"/>
          <w:szCs w:val="20"/>
          <w:lang w:eastAsia="en-US"/>
        </w:rPr>
        <w:tab/>
        <w:t xml:space="preserve">The average length of delay for people </w:t>
      </w:r>
      <w:r w:rsidR="00F04881" w:rsidRPr="00DE4065">
        <w:rPr>
          <w:rFonts w:ascii="Arial" w:hAnsi="Arial" w:cs="Arial"/>
          <w:sz w:val="20"/>
          <w:szCs w:val="20"/>
          <w:lang w:eastAsia="en-US"/>
        </w:rPr>
        <w:t>over 75</w:t>
      </w:r>
      <w:r w:rsidRPr="00DE4065">
        <w:rPr>
          <w:rFonts w:ascii="Arial" w:hAnsi="Arial" w:cs="Arial"/>
          <w:sz w:val="20"/>
          <w:szCs w:val="20"/>
          <w:lang w:eastAsia="en-US"/>
        </w:rPr>
        <w:t xml:space="preserve"> is </w:t>
      </w:r>
      <w:r w:rsidR="0084427B">
        <w:rPr>
          <w:rFonts w:ascii="Arial" w:hAnsi="Arial" w:cs="Arial"/>
          <w:sz w:val="20"/>
          <w:szCs w:val="20"/>
          <w:lang w:eastAsia="en-US"/>
        </w:rPr>
        <w:t>16</w:t>
      </w:r>
      <w:r w:rsidRPr="00DE4065">
        <w:rPr>
          <w:rFonts w:ascii="Arial" w:hAnsi="Arial" w:cs="Arial"/>
          <w:sz w:val="20"/>
          <w:szCs w:val="20"/>
          <w:lang w:eastAsia="en-US"/>
        </w:rPr>
        <w:t xml:space="preserve"> days</w:t>
      </w:r>
      <w:r w:rsidR="000370A1" w:rsidRPr="00DE4065">
        <w:rPr>
          <w:rFonts w:ascii="Arial" w:hAnsi="Arial" w:cs="Arial"/>
          <w:sz w:val="20"/>
          <w:szCs w:val="20"/>
          <w:lang w:eastAsia="en-US"/>
        </w:rPr>
        <w:t xml:space="preserve">, reflecting the </w:t>
      </w:r>
      <w:r w:rsidR="002E1DA0" w:rsidRPr="00DE4065">
        <w:rPr>
          <w:rFonts w:ascii="Arial" w:hAnsi="Arial" w:cs="Arial"/>
          <w:sz w:val="20"/>
          <w:szCs w:val="20"/>
          <w:lang w:eastAsia="en-US"/>
        </w:rPr>
        <w:t xml:space="preserve">improvement work which has taken place to </w:t>
      </w:r>
      <w:r w:rsidR="00127646" w:rsidRPr="00DE4065">
        <w:rPr>
          <w:rFonts w:ascii="Arial" w:hAnsi="Arial" w:cs="Arial"/>
          <w:sz w:val="20"/>
          <w:szCs w:val="20"/>
          <w:lang w:eastAsia="en-US"/>
        </w:rPr>
        <w:t>maximise capacity within social care services</w:t>
      </w:r>
      <w:r w:rsidR="001B70F2" w:rsidRPr="00DE4065">
        <w:rPr>
          <w:rFonts w:ascii="Arial" w:hAnsi="Arial" w:cs="Arial"/>
          <w:sz w:val="20"/>
          <w:szCs w:val="20"/>
          <w:lang w:eastAsia="en-US"/>
        </w:rPr>
        <w:t xml:space="preserve"> which largely supports discharge of older adults</w:t>
      </w:r>
      <w:r w:rsidR="00127646" w:rsidRPr="00DE4065">
        <w:rPr>
          <w:rFonts w:ascii="Arial" w:hAnsi="Arial" w:cs="Arial"/>
          <w:sz w:val="20"/>
          <w:szCs w:val="20"/>
          <w:lang w:eastAsia="en-US"/>
        </w:rPr>
        <w:t xml:space="preserve"> </w:t>
      </w:r>
      <w:r w:rsidR="00EF1E58" w:rsidRPr="00DE4065">
        <w:rPr>
          <w:rFonts w:ascii="Arial" w:hAnsi="Arial" w:cs="Arial"/>
          <w:sz w:val="20"/>
          <w:szCs w:val="20"/>
          <w:lang w:eastAsia="en-US"/>
        </w:rPr>
        <w:t xml:space="preserve">within the acute hospital. </w:t>
      </w:r>
    </w:p>
    <w:p w14:paraId="540B6266" w14:textId="77777777" w:rsidR="00C2324D" w:rsidRDefault="00C2324D" w:rsidP="00C2324D">
      <w:pPr>
        <w:ind w:left="709" w:hanging="709"/>
        <w:rPr>
          <w:rFonts w:ascii="Arial" w:hAnsi="Arial" w:cs="Arial"/>
          <w:sz w:val="20"/>
          <w:szCs w:val="20"/>
          <w:lang w:eastAsia="en-US"/>
        </w:rPr>
      </w:pPr>
    </w:p>
    <w:p w14:paraId="1E4104E4" w14:textId="7504FBB7" w:rsidR="008F5464" w:rsidRPr="00DE4065" w:rsidRDefault="008F5464" w:rsidP="00C2324D">
      <w:pPr>
        <w:ind w:left="709" w:hanging="709"/>
        <w:rPr>
          <w:rFonts w:ascii="Arial" w:hAnsi="Arial" w:cs="Arial"/>
          <w:sz w:val="20"/>
          <w:szCs w:val="20"/>
          <w:lang w:eastAsia="en-US"/>
        </w:rPr>
      </w:pPr>
      <w:r w:rsidRPr="00DE4065">
        <w:rPr>
          <w:rFonts w:ascii="Arial" w:hAnsi="Arial" w:cs="Arial"/>
          <w:noProof/>
          <w:sz w:val="20"/>
          <w:szCs w:val="20"/>
        </w:rPr>
        <w:t>6.4</w:t>
      </w:r>
      <w:r w:rsidRPr="00DE4065">
        <w:rPr>
          <w:rFonts w:ascii="Arial" w:hAnsi="Arial" w:cs="Arial"/>
          <w:noProof/>
          <w:sz w:val="20"/>
          <w:szCs w:val="20"/>
        </w:rPr>
        <w:tab/>
      </w:r>
      <w:r w:rsidR="00CF4F67">
        <w:rPr>
          <w:rFonts w:ascii="Arial" w:hAnsi="Arial" w:cs="Arial"/>
          <w:sz w:val="20"/>
          <w:szCs w:val="20"/>
          <w:lang w:eastAsia="en-US"/>
        </w:rPr>
        <w:t>Chart 4</w:t>
      </w:r>
      <w:r>
        <w:rPr>
          <w:rFonts w:ascii="Arial" w:hAnsi="Arial" w:cs="Arial"/>
          <w:sz w:val="20"/>
          <w:szCs w:val="20"/>
          <w:lang w:eastAsia="en-US"/>
        </w:rPr>
        <w:t xml:space="preserve"> illustrates</w:t>
      </w:r>
      <w:r w:rsidRPr="00DE4065">
        <w:rPr>
          <w:rFonts w:ascii="Arial" w:hAnsi="Arial" w:cs="Arial"/>
          <w:sz w:val="20"/>
          <w:szCs w:val="20"/>
          <w:lang w:eastAsia="en-US"/>
        </w:rPr>
        <w:t xml:space="preserve"> that the majority of delays greater than 28 days are within the complex delay category, whereas </w:t>
      </w:r>
      <w:r w:rsidR="002C528B" w:rsidRPr="00DE4065">
        <w:rPr>
          <w:rFonts w:ascii="Arial" w:hAnsi="Arial" w:cs="Arial"/>
          <w:sz w:val="20"/>
          <w:szCs w:val="20"/>
          <w:lang w:eastAsia="en-US"/>
        </w:rPr>
        <w:t>non-complex</w:t>
      </w:r>
      <w:r w:rsidRPr="00DE4065">
        <w:rPr>
          <w:rFonts w:ascii="Arial" w:hAnsi="Arial" w:cs="Arial"/>
          <w:sz w:val="20"/>
          <w:szCs w:val="20"/>
          <w:lang w:eastAsia="en-US"/>
        </w:rPr>
        <w:t xml:space="preserve"> delays tend to be shorter. </w:t>
      </w:r>
    </w:p>
    <w:p w14:paraId="5E6485B5" w14:textId="77777777" w:rsidR="008F5464" w:rsidRDefault="008F5464" w:rsidP="3EF05A0C">
      <w:pPr>
        <w:ind w:left="709" w:hanging="709"/>
        <w:rPr>
          <w:rFonts w:ascii="Arial" w:hAnsi="Arial" w:cs="Arial"/>
          <w:b/>
          <w:bCs/>
          <w:sz w:val="20"/>
          <w:szCs w:val="20"/>
          <w:lang w:eastAsia="en-US"/>
        </w:rPr>
      </w:pPr>
    </w:p>
    <w:p w14:paraId="78B9187D" w14:textId="77777777" w:rsidR="008F5464" w:rsidRDefault="008F5464" w:rsidP="3EF05A0C">
      <w:pPr>
        <w:ind w:left="709" w:hanging="709"/>
        <w:rPr>
          <w:rFonts w:ascii="Arial" w:hAnsi="Arial" w:cs="Arial"/>
          <w:b/>
          <w:bCs/>
          <w:sz w:val="20"/>
          <w:szCs w:val="20"/>
          <w:lang w:eastAsia="en-US"/>
        </w:rPr>
      </w:pPr>
    </w:p>
    <w:p w14:paraId="5499AC46" w14:textId="77777777" w:rsidR="00DA6286" w:rsidRDefault="00DA6286" w:rsidP="3EF05A0C">
      <w:pPr>
        <w:ind w:left="709" w:hanging="709"/>
        <w:rPr>
          <w:rFonts w:ascii="Arial" w:hAnsi="Arial" w:cs="Arial"/>
          <w:b/>
          <w:bCs/>
          <w:sz w:val="20"/>
          <w:szCs w:val="20"/>
          <w:lang w:eastAsia="en-US"/>
        </w:rPr>
      </w:pPr>
    </w:p>
    <w:p w14:paraId="1D455992" w14:textId="77777777" w:rsidR="00DA6286" w:rsidRDefault="00DA6286" w:rsidP="3EF05A0C">
      <w:pPr>
        <w:ind w:left="709" w:hanging="709"/>
        <w:rPr>
          <w:rFonts w:ascii="Arial" w:hAnsi="Arial" w:cs="Arial"/>
          <w:b/>
          <w:bCs/>
          <w:sz w:val="20"/>
          <w:szCs w:val="20"/>
          <w:lang w:eastAsia="en-US"/>
        </w:rPr>
      </w:pPr>
    </w:p>
    <w:p w14:paraId="2EB0748A" w14:textId="77777777" w:rsidR="00DA6286" w:rsidRDefault="00DA6286" w:rsidP="3EF05A0C">
      <w:pPr>
        <w:ind w:left="709" w:hanging="709"/>
        <w:rPr>
          <w:rFonts w:ascii="Arial" w:hAnsi="Arial" w:cs="Arial"/>
          <w:b/>
          <w:bCs/>
          <w:sz w:val="20"/>
          <w:szCs w:val="20"/>
          <w:lang w:eastAsia="en-US"/>
        </w:rPr>
      </w:pPr>
    </w:p>
    <w:p w14:paraId="685A5AFE" w14:textId="77777777" w:rsidR="00DA6286" w:rsidRDefault="00DA6286" w:rsidP="3EF05A0C">
      <w:pPr>
        <w:ind w:left="709" w:hanging="709"/>
        <w:rPr>
          <w:rFonts w:ascii="Arial" w:hAnsi="Arial" w:cs="Arial"/>
          <w:b/>
          <w:bCs/>
          <w:sz w:val="20"/>
          <w:szCs w:val="20"/>
          <w:lang w:eastAsia="en-US"/>
        </w:rPr>
      </w:pPr>
    </w:p>
    <w:p w14:paraId="576676E9" w14:textId="77777777" w:rsidR="00DA6286" w:rsidRDefault="00DA6286" w:rsidP="3EF05A0C">
      <w:pPr>
        <w:ind w:left="709" w:hanging="709"/>
        <w:rPr>
          <w:rFonts w:ascii="Arial" w:hAnsi="Arial" w:cs="Arial"/>
          <w:b/>
          <w:bCs/>
          <w:sz w:val="20"/>
          <w:szCs w:val="20"/>
          <w:lang w:eastAsia="en-US"/>
        </w:rPr>
      </w:pPr>
    </w:p>
    <w:p w14:paraId="6116C13C" w14:textId="77777777" w:rsidR="00DA6286" w:rsidRDefault="00DA6286" w:rsidP="3EF05A0C">
      <w:pPr>
        <w:ind w:left="709" w:hanging="709"/>
        <w:rPr>
          <w:rFonts w:ascii="Arial" w:hAnsi="Arial" w:cs="Arial"/>
          <w:b/>
          <w:bCs/>
          <w:sz w:val="20"/>
          <w:szCs w:val="20"/>
          <w:lang w:eastAsia="en-US"/>
        </w:rPr>
      </w:pPr>
    </w:p>
    <w:p w14:paraId="38C00736" w14:textId="77777777" w:rsidR="00DA6286" w:rsidRDefault="00DA6286" w:rsidP="3EF05A0C">
      <w:pPr>
        <w:ind w:left="709" w:hanging="709"/>
        <w:rPr>
          <w:rFonts w:ascii="Arial" w:hAnsi="Arial" w:cs="Arial"/>
          <w:b/>
          <w:bCs/>
          <w:sz w:val="20"/>
          <w:szCs w:val="20"/>
          <w:lang w:eastAsia="en-US"/>
        </w:rPr>
      </w:pPr>
    </w:p>
    <w:p w14:paraId="1A70662E" w14:textId="77777777" w:rsidR="00DA6286" w:rsidRDefault="00DA6286" w:rsidP="3EF05A0C">
      <w:pPr>
        <w:ind w:left="709" w:hanging="709"/>
        <w:rPr>
          <w:rFonts w:ascii="Arial" w:hAnsi="Arial" w:cs="Arial"/>
          <w:b/>
          <w:bCs/>
          <w:sz w:val="20"/>
          <w:szCs w:val="20"/>
          <w:lang w:eastAsia="en-US"/>
        </w:rPr>
      </w:pPr>
    </w:p>
    <w:p w14:paraId="313F11E3" w14:textId="77777777" w:rsidR="00DA6286" w:rsidRDefault="00DA6286" w:rsidP="3EF05A0C">
      <w:pPr>
        <w:ind w:left="709" w:hanging="709"/>
        <w:rPr>
          <w:rFonts w:ascii="Arial" w:hAnsi="Arial" w:cs="Arial"/>
          <w:b/>
          <w:bCs/>
          <w:sz w:val="20"/>
          <w:szCs w:val="20"/>
          <w:lang w:eastAsia="en-US"/>
        </w:rPr>
      </w:pPr>
    </w:p>
    <w:p w14:paraId="57081952" w14:textId="77777777" w:rsidR="00DA6286" w:rsidRDefault="00DA6286" w:rsidP="3EF05A0C">
      <w:pPr>
        <w:ind w:left="709" w:hanging="709"/>
        <w:rPr>
          <w:rFonts w:ascii="Arial" w:hAnsi="Arial" w:cs="Arial"/>
          <w:b/>
          <w:bCs/>
          <w:sz w:val="20"/>
          <w:szCs w:val="20"/>
          <w:lang w:eastAsia="en-US"/>
        </w:rPr>
      </w:pPr>
    </w:p>
    <w:p w14:paraId="26577E01" w14:textId="77777777" w:rsidR="00DA6286" w:rsidRDefault="00DA6286" w:rsidP="3EF05A0C">
      <w:pPr>
        <w:ind w:left="709" w:hanging="709"/>
        <w:rPr>
          <w:rFonts w:ascii="Arial" w:hAnsi="Arial" w:cs="Arial"/>
          <w:b/>
          <w:bCs/>
          <w:sz w:val="20"/>
          <w:szCs w:val="20"/>
          <w:lang w:eastAsia="en-US"/>
        </w:rPr>
      </w:pPr>
    </w:p>
    <w:p w14:paraId="3CB7DC1B" w14:textId="77777777" w:rsidR="001B23EA" w:rsidRDefault="001B23EA" w:rsidP="3EF05A0C">
      <w:pPr>
        <w:ind w:left="709" w:hanging="709"/>
        <w:rPr>
          <w:rFonts w:ascii="Arial" w:hAnsi="Arial" w:cs="Arial"/>
          <w:b/>
          <w:bCs/>
          <w:sz w:val="20"/>
          <w:szCs w:val="20"/>
          <w:lang w:eastAsia="en-US"/>
        </w:rPr>
      </w:pPr>
    </w:p>
    <w:p w14:paraId="38687E13" w14:textId="77777777" w:rsidR="001B23EA" w:rsidRDefault="001B23EA" w:rsidP="3EF05A0C">
      <w:pPr>
        <w:ind w:left="709" w:hanging="709"/>
        <w:rPr>
          <w:rFonts w:ascii="Arial" w:hAnsi="Arial" w:cs="Arial"/>
          <w:b/>
          <w:bCs/>
          <w:sz w:val="20"/>
          <w:szCs w:val="20"/>
          <w:lang w:eastAsia="en-US"/>
        </w:rPr>
      </w:pPr>
    </w:p>
    <w:p w14:paraId="10E491CF" w14:textId="77777777" w:rsidR="00DA6286" w:rsidRDefault="00DA6286" w:rsidP="3EF05A0C">
      <w:pPr>
        <w:ind w:left="709" w:hanging="709"/>
        <w:rPr>
          <w:rFonts w:ascii="Arial" w:hAnsi="Arial" w:cs="Arial"/>
          <w:b/>
          <w:bCs/>
          <w:sz w:val="20"/>
          <w:szCs w:val="20"/>
          <w:lang w:eastAsia="en-US"/>
        </w:rPr>
      </w:pPr>
    </w:p>
    <w:p w14:paraId="0B5D3A1E" w14:textId="5E509565" w:rsidR="005D0705" w:rsidRPr="00DE4065" w:rsidRDefault="00CF4F67" w:rsidP="002C528B">
      <w:pPr>
        <w:ind w:left="709"/>
        <w:rPr>
          <w:rFonts w:ascii="Arial" w:hAnsi="Arial" w:cs="Arial"/>
          <w:b/>
          <w:bCs/>
          <w:sz w:val="20"/>
          <w:szCs w:val="20"/>
          <w:lang w:eastAsia="en-US"/>
        </w:rPr>
      </w:pPr>
      <w:r>
        <w:rPr>
          <w:rFonts w:ascii="Arial" w:hAnsi="Arial" w:cs="Arial"/>
          <w:b/>
          <w:bCs/>
          <w:sz w:val="20"/>
          <w:szCs w:val="20"/>
          <w:lang w:eastAsia="en-US"/>
        </w:rPr>
        <w:lastRenderedPageBreak/>
        <w:t xml:space="preserve">Chart 4 </w:t>
      </w:r>
      <w:r w:rsidR="00DB5888" w:rsidRPr="00DE4065">
        <w:rPr>
          <w:rFonts w:ascii="Arial" w:hAnsi="Arial" w:cs="Arial"/>
          <w:b/>
          <w:bCs/>
          <w:sz w:val="20"/>
          <w:szCs w:val="20"/>
          <w:lang w:eastAsia="en-US"/>
        </w:rPr>
        <w:t xml:space="preserve">Average </w:t>
      </w:r>
      <w:r w:rsidR="005D0705" w:rsidRPr="00DE4065">
        <w:rPr>
          <w:rFonts w:ascii="Arial" w:hAnsi="Arial" w:cs="Arial"/>
          <w:b/>
          <w:bCs/>
          <w:sz w:val="20"/>
          <w:szCs w:val="20"/>
          <w:lang w:eastAsia="en-US"/>
        </w:rPr>
        <w:t>Duration of Delay by Type and Age Group</w:t>
      </w:r>
      <w:r>
        <w:rPr>
          <w:rFonts w:ascii="Arial" w:hAnsi="Arial" w:cs="Arial"/>
          <w:b/>
          <w:bCs/>
          <w:sz w:val="20"/>
          <w:szCs w:val="20"/>
          <w:lang w:eastAsia="en-US"/>
        </w:rPr>
        <w:t xml:space="preserve"> J</w:t>
      </w:r>
      <w:r w:rsidR="007321B3">
        <w:rPr>
          <w:rFonts w:ascii="Arial" w:hAnsi="Arial" w:cs="Arial"/>
          <w:b/>
          <w:bCs/>
          <w:sz w:val="20"/>
          <w:szCs w:val="20"/>
          <w:lang w:eastAsia="en-US"/>
        </w:rPr>
        <w:t>anuary 2024</w:t>
      </w:r>
      <w:r>
        <w:rPr>
          <w:rFonts w:ascii="Arial" w:hAnsi="Arial" w:cs="Arial"/>
          <w:b/>
          <w:bCs/>
          <w:sz w:val="20"/>
          <w:szCs w:val="20"/>
          <w:lang w:eastAsia="en-US"/>
        </w:rPr>
        <w:t xml:space="preserve"> – </w:t>
      </w:r>
      <w:r w:rsidR="007321B3">
        <w:rPr>
          <w:rFonts w:ascii="Arial" w:hAnsi="Arial" w:cs="Arial"/>
          <w:b/>
          <w:bCs/>
          <w:sz w:val="20"/>
          <w:szCs w:val="20"/>
          <w:lang w:eastAsia="en-US"/>
        </w:rPr>
        <w:t>November</w:t>
      </w:r>
      <w:r>
        <w:rPr>
          <w:rFonts w:ascii="Arial" w:hAnsi="Arial" w:cs="Arial"/>
          <w:b/>
          <w:bCs/>
          <w:sz w:val="20"/>
          <w:szCs w:val="20"/>
          <w:lang w:eastAsia="en-US"/>
        </w:rPr>
        <w:t xml:space="preserve"> 2024</w:t>
      </w:r>
    </w:p>
    <w:p w14:paraId="68332A82" w14:textId="7FA71C6C" w:rsidR="00F94E60" w:rsidRPr="00DE4065" w:rsidRDefault="003B128B" w:rsidP="3EF05A0C">
      <w:pPr>
        <w:ind w:left="709" w:hanging="709"/>
        <w:rPr>
          <w:rFonts w:ascii="Arial" w:hAnsi="Arial" w:cs="Arial"/>
          <w:b/>
          <w:bCs/>
          <w:sz w:val="20"/>
          <w:szCs w:val="20"/>
          <w:lang w:eastAsia="en-US"/>
        </w:rPr>
      </w:pPr>
      <w:r>
        <w:rPr>
          <w:noProof/>
        </w:rPr>
        <w:drawing>
          <wp:inline distT="0" distB="0" distL="0" distR="0" wp14:anchorId="48FA50CC" wp14:editId="684AB5A9">
            <wp:extent cx="5760085" cy="3011170"/>
            <wp:effectExtent l="0" t="0" r="0" b="0"/>
            <wp:docPr id="1415415101" name="Chart 1">
              <a:extLst xmlns:a="http://schemas.openxmlformats.org/drawingml/2006/main">
                <a:ext uri="{FF2B5EF4-FFF2-40B4-BE49-F238E27FC236}">
                  <a16:creationId xmlns:a16="http://schemas.microsoft.com/office/drawing/2014/main" id="{C2D6D109-851C-6929-E209-DE1C2A2F2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D0AAE2" w14:textId="0EAF9AF8" w:rsidR="00F94E60" w:rsidRPr="00DE4065" w:rsidRDefault="00F94E60" w:rsidP="3EF05A0C">
      <w:pPr>
        <w:ind w:left="709" w:hanging="709"/>
        <w:rPr>
          <w:rFonts w:ascii="Arial" w:hAnsi="Arial" w:cs="Arial"/>
          <w:b/>
          <w:bCs/>
          <w:sz w:val="20"/>
          <w:szCs w:val="20"/>
          <w:lang w:eastAsia="en-US"/>
        </w:rPr>
      </w:pPr>
    </w:p>
    <w:p w14:paraId="6019A7FE" w14:textId="77777777" w:rsidR="00CF15F3" w:rsidRDefault="00CF15F3" w:rsidP="00CF4F67">
      <w:pPr>
        <w:ind w:firstLine="709"/>
        <w:rPr>
          <w:rFonts w:ascii="Arial" w:hAnsi="Arial" w:cs="Arial"/>
          <w:sz w:val="20"/>
          <w:szCs w:val="20"/>
          <w:lang w:eastAsia="en-US"/>
        </w:rPr>
      </w:pPr>
      <w:r w:rsidRPr="00DE4065">
        <w:rPr>
          <w:rFonts w:ascii="Arial" w:hAnsi="Arial" w:cs="Arial"/>
          <w:sz w:val="20"/>
          <w:szCs w:val="20"/>
          <w:lang w:eastAsia="en-US"/>
        </w:rPr>
        <w:t xml:space="preserve">Source: Health And Business Intelligence Unit NHS Tayside </w:t>
      </w:r>
    </w:p>
    <w:p w14:paraId="0E48F0D5" w14:textId="77777777" w:rsidR="0084427B" w:rsidRPr="00DE4065" w:rsidRDefault="0084427B" w:rsidP="004D3310">
      <w:pPr>
        <w:rPr>
          <w:rFonts w:ascii="Arial" w:hAnsi="Arial" w:cs="Arial"/>
          <w:sz w:val="20"/>
          <w:szCs w:val="20"/>
          <w:lang w:eastAsia="en-US"/>
        </w:rPr>
      </w:pPr>
    </w:p>
    <w:p w14:paraId="534EB39B" w14:textId="1940A9B4" w:rsidR="00CF15F3" w:rsidRDefault="00CF15F3" w:rsidP="00CF4F67">
      <w:pPr>
        <w:ind w:left="709"/>
        <w:rPr>
          <w:rFonts w:ascii="Arial" w:hAnsi="Arial" w:cs="Arial"/>
          <w:sz w:val="20"/>
          <w:szCs w:val="20"/>
          <w:lang w:eastAsia="en-US"/>
        </w:rPr>
      </w:pPr>
      <w:r w:rsidRPr="00DE4065">
        <w:rPr>
          <w:rFonts w:ascii="Arial" w:hAnsi="Arial" w:cs="Arial"/>
          <w:sz w:val="20"/>
          <w:szCs w:val="20"/>
          <w:lang w:eastAsia="en-US"/>
        </w:rPr>
        <w:t>Note: the 8-14 day delays fo</w:t>
      </w:r>
      <w:r w:rsidR="006262CC" w:rsidRPr="00DE4065">
        <w:rPr>
          <w:rFonts w:ascii="Arial" w:hAnsi="Arial" w:cs="Arial"/>
          <w:sz w:val="20"/>
          <w:szCs w:val="20"/>
          <w:lang w:eastAsia="en-US"/>
        </w:rPr>
        <w:t>r</w:t>
      </w:r>
      <w:r w:rsidRPr="00DE4065">
        <w:rPr>
          <w:rFonts w:ascii="Arial" w:hAnsi="Arial" w:cs="Arial"/>
          <w:sz w:val="20"/>
          <w:szCs w:val="20"/>
          <w:lang w:eastAsia="en-US"/>
        </w:rPr>
        <w:t xml:space="preserve"> under 75 complex delays </w:t>
      </w:r>
      <w:r w:rsidR="005B15C8">
        <w:rPr>
          <w:rFonts w:ascii="Arial" w:hAnsi="Arial" w:cs="Arial"/>
          <w:sz w:val="20"/>
          <w:szCs w:val="20"/>
          <w:lang w:eastAsia="en-US"/>
        </w:rPr>
        <w:t>has</w:t>
      </w:r>
      <w:r w:rsidRPr="00DE4065">
        <w:rPr>
          <w:rFonts w:ascii="Arial" w:hAnsi="Arial" w:cs="Arial"/>
          <w:sz w:val="20"/>
          <w:szCs w:val="20"/>
          <w:lang w:eastAsia="en-US"/>
        </w:rPr>
        <w:t xml:space="preserve"> been rounded up to </w:t>
      </w:r>
      <w:r w:rsidR="005B15C8">
        <w:rPr>
          <w:rFonts w:ascii="Arial" w:hAnsi="Arial" w:cs="Arial"/>
          <w:sz w:val="20"/>
          <w:szCs w:val="20"/>
          <w:lang w:eastAsia="en-US"/>
        </w:rPr>
        <w:t>5</w:t>
      </w:r>
      <w:r w:rsidRPr="00DE4065">
        <w:rPr>
          <w:rFonts w:ascii="Arial" w:hAnsi="Arial" w:cs="Arial"/>
          <w:sz w:val="20"/>
          <w:szCs w:val="20"/>
          <w:lang w:eastAsia="en-US"/>
        </w:rPr>
        <w:t xml:space="preserve"> to comply with</w:t>
      </w:r>
      <w:r w:rsidR="00CF4F67">
        <w:rPr>
          <w:rFonts w:ascii="Arial" w:hAnsi="Arial" w:cs="Arial"/>
          <w:sz w:val="20"/>
          <w:szCs w:val="20"/>
          <w:lang w:eastAsia="en-US"/>
        </w:rPr>
        <w:t xml:space="preserve"> </w:t>
      </w:r>
      <w:r w:rsidRPr="00DE4065">
        <w:rPr>
          <w:rFonts w:ascii="Arial" w:hAnsi="Arial" w:cs="Arial"/>
          <w:sz w:val="20"/>
          <w:szCs w:val="20"/>
          <w:lang w:eastAsia="en-US"/>
        </w:rPr>
        <w:t>GDPR.</w:t>
      </w:r>
    </w:p>
    <w:p w14:paraId="4FA36203" w14:textId="77777777" w:rsidR="008F5464" w:rsidRPr="00DE4065" w:rsidRDefault="008F5464" w:rsidP="00CF15F3">
      <w:pPr>
        <w:ind w:left="709" w:hanging="709"/>
        <w:rPr>
          <w:rFonts w:ascii="Arial" w:hAnsi="Arial" w:cs="Arial"/>
          <w:sz w:val="20"/>
          <w:szCs w:val="20"/>
          <w:lang w:eastAsia="en-US"/>
        </w:rPr>
      </w:pPr>
    </w:p>
    <w:p w14:paraId="5A8D1895" w14:textId="77B889F5" w:rsidR="002C528B" w:rsidRPr="00DE4065" w:rsidRDefault="002C528B" w:rsidP="002C528B">
      <w:pPr>
        <w:ind w:left="709" w:hanging="709"/>
        <w:rPr>
          <w:rFonts w:ascii="Arial" w:hAnsi="Arial" w:cs="Arial"/>
          <w:sz w:val="20"/>
          <w:szCs w:val="20"/>
          <w:lang w:eastAsia="en-US"/>
        </w:rPr>
      </w:pPr>
      <w:r w:rsidRPr="00DE4065">
        <w:rPr>
          <w:rFonts w:ascii="Arial" w:hAnsi="Arial" w:cs="Arial"/>
          <w:sz w:val="20"/>
          <w:szCs w:val="20"/>
          <w:lang w:eastAsia="en-US"/>
        </w:rPr>
        <w:t xml:space="preserve">6.5   </w:t>
      </w:r>
      <w:r w:rsidR="00CF4F67">
        <w:rPr>
          <w:rFonts w:ascii="Arial" w:hAnsi="Arial" w:cs="Arial"/>
          <w:sz w:val="20"/>
          <w:szCs w:val="20"/>
          <w:lang w:eastAsia="en-US"/>
        </w:rPr>
        <w:tab/>
        <w:t>Chart 5</w:t>
      </w:r>
      <w:r w:rsidRPr="00DE4065">
        <w:rPr>
          <w:rFonts w:ascii="Arial" w:hAnsi="Arial" w:cs="Arial"/>
          <w:sz w:val="20"/>
          <w:szCs w:val="20"/>
          <w:lang w:eastAsia="en-US"/>
        </w:rPr>
        <w:t xml:space="preserve"> </w:t>
      </w:r>
      <w:r>
        <w:rPr>
          <w:rFonts w:ascii="Arial" w:hAnsi="Arial" w:cs="Arial"/>
          <w:sz w:val="20"/>
          <w:szCs w:val="20"/>
          <w:lang w:eastAsia="en-US"/>
        </w:rPr>
        <w:t xml:space="preserve">illustrates that bed days lost of more than 28 days are most prevalent for the under 75s who are located in mental health specialties.  </w:t>
      </w:r>
    </w:p>
    <w:p w14:paraId="664590AB" w14:textId="77777777" w:rsidR="006A0E75" w:rsidRPr="00DE4065" w:rsidRDefault="006A0E75" w:rsidP="006A0E75">
      <w:pPr>
        <w:ind w:left="709" w:hanging="709"/>
        <w:rPr>
          <w:rFonts w:ascii="Arial" w:hAnsi="Arial" w:cs="Arial"/>
          <w:sz w:val="20"/>
          <w:szCs w:val="20"/>
          <w:lang w:eastAsia="en-US"/>
        </w:rPr>
      </w:pPr>
    </w:p>
    <w:p w14:paraId="15CBEE87" w14:textId="62F1F7B3" w:rsidR="006A0E75" w:rsidRPr="00DE4065" w:rsidRDefault="00CF4F67" w:rsidP="00CF4F67">
      <w:pPr>
        <w:ind w:left="709"/>
        <w:rPr>
          <w:rFonts w:ascii="Arial" w:hAnsi="Arial" w:cs="Arial"/>
          <w:b/>
          <w:bCs/>
          <w:sz w:val="20"/>
          <w:szCs w:val="20"/>
          <w:lang w:eastAsia="en-US"/>
        </w:rPr>
      </w:pPr>
      <w:r>
        <w:rPr>
          <w:rFonts w:ascii="Arial" w:hAnsi="Arial" w:cs="Arial"/>
          <w:b/>
          <w:bCs/>
          <w:sz w:val="20"/>
          <w:szCs w:val="20"/>
          <w:lang w:eastAsia="en-US"/>
        </w:rPr>
        <w:t xml:space="preserve">Chart 5 </w:t>
      </w:r>
      <w:r w:rsidR="006A0E75" w:rsidRPr="00DE4065">
        <w:rPr>
          <w:rFonts w:ascii="Arial" w:hAnsi="Arial" w:cs="Arial"/>
          <w:b/>
          <w:bCs/>
          <w:sz w:val="20"/>
          <w:szCs w:val="20"/>
          <w:lang w:eastAsia="en-US"/>
        </w:rPr>
        <w:t xml:space="preserve">Average </w:t>
      </w:r>
      <w:r w:rsidR="00DB5888" w:rsidRPr="00DE4065">
        <w:rPr>
          <w:rFonts w:ascii="Arial" w:hAnsi="Arial" w:cs="Arial"/>
          <w:b/>
          <w:bCs/>
          <w:sz w:val="20"/>
          <w:szCs w:val="20"/>
          <w:lang w:eastAsia="en-US"/>
        </w:rPr>
        <w:t>Durati</w:t>
      </w:r>
      <w:r w:rsidR="00336ED0" w:rsidRPr="00DE4065">
        <w:rPr>
          <w:rFonts w:ascii="Arial" w:hAnsi="Arial" w:cs="Arial"/>
          <w:b/>
          <w:bCs/>
          <w:sz w:val="20"/>
          <w:szCs w:val="20"/>
          <w:lang w:eastAsia="en-US"/>
        </w:rPr>
        <w:t>o</w:t>
      </w:r>
      <w:r w:rsidR="00DB5888" w:rsidRPr="00DE4065">
        <w:rPr>
          <w:rFonts w:ascii="Arial" w:hAnsi="Arial" w:cs="Arial"/>
          <w:b/>
          <w:bCs/>
          <w:sz w:val="20"/>
          <w:szCs w:val="20"/>
          <w:lang w:eastAsia="en-US"/>
        </w:rPr>
        <w:t>n</w:t>
      </w:r>
      <w:r w:rsidR="006A0E75" w:rsidRPr="00DE4065">
        <w:rPr>
          <w:rFonts w:ascii="Arial" w:hAnsi="Arial" w:cs="Arial"/>
          <w:b/>
          <w:bCs/>
          <w:sz w:val="20"/>
          <w:szCs w:val="20"/>
          <w:lang w:eastAsia="en-US"/>
        </w:rPr>
        <w:t xml:space="preserve"> of Delay by </w:t>
      </w:r>
      <w:r w:rsidR="005F455A" w:rsidRPr="00DE4065">
        <w:rPr>
          <w:rFonts w:ascii="Arial" w:hAnsi="Arial" w:cs="Arial"/>
          <w:b/>
          <w:bCs/>
          <w:sz w:val="20"/>
          <w:szCs w:val="20"/>
          <w:lang w:eastAsia="en-US"/>
        </w:rPr>
        <w:t xml:space="preserve">Age and </w:t>
      </w:r>
      <w:r w:rsidR="004D10D0" w:rsidRPr="00DE4065">
        <w:rPr>
          <w:rFonts w:ascii="Arial" w:hAnsi="Arial" w:cs="Arial"/>
          <w:b/>
          <w:bCs/>
          <w:sz w:val="20"/>
          <w:szCs w:val="20"/>
          <w:lang w:eastAsia="en-US"/>
        </w:rPr>
        <w:t>Location</w:t>
      </w:r>
      <w:r w:rsidR="006A0E75" w:rsidRPr="00DE4065">
        <w:rPr>
          <w:rFonts w:ascii="Arial" w:hAnsi="Arial" w:cs="Arial"/>
          <w:b/>
          <w:bCs/>
          <w:sz w:val="20"/>
          <w:szCs w:val="20"/>
          <w:lang w:eastAsia="en-US"/>
        </w:rPr>
        <w:t xml:space="preserve"> </w:t>
      </w:r>
    </w:p>
    <w:p w14:paraId="6FBA63BF" w14:textId="77777777" w:rsidR="3EF05A0C" w:rsidRPr="00DE4065" w:rsidRDefault="3EF05A0C" w:rsidP="3EF05A0C">
      <w:pPr>
        <w:ind w:left="709" w:hanging="709"/>
        <w:rPr>
          <w:rFonts w:ascii="Arial" w:hAnsi="Arial" w:cs="Arial"/>
          <w:sz w:val="20"/>
          <w:szCs w:val="20"/>
          <w:lang w:eastAsia="en-US"/>
        </w:rPr>
      </w:pPr>
    </w:p>
    <w:p w14:paraId="2E43870D" w14:textId="28BCB241" w:rsidR="3EF05A0C" w:rsidRPr="00DE4065" w:rsidRDefault="005F455A" w:rsidP="00C85A1F">
      <w:pPr>
        <w:ind w:left="709" w:hanging="709"/>
        <w:jc w:val="center"/>
        <w:rPr>
          <w:rFonts w:ascii="Arial" w:hAnsi="Arial" w:cs="Arial"/>
          <w:sz w:val="20"/>
          <w:szCs w:val="20"/>
          <w:lang w:eastAsia="en-US"/>
        </w:rPr>
      </w:pPr>
      <w:r w:rsidRPr="00DE4065">
        <w:rPr>
          <w:rFonts w:ascii="Arial" w:hAnsi="Arial" w:cs="Arial"/>
          <w:noProof/>
          <w:sz w:val="20"/>
          <w:szCs w:val="20"/>
        </w:rPr>
        <w:drawing>
          <wp:inline distT="0" distB="0" distL="0" distR="0" wp14:anchorId="6A0F335D" wp14:editId="28028FDB">
            <wp:extent cx="5760085" cy="2941983"/>
            <wp:effectExtent l="0" t="0" r="0" b="0"/>
            <wp:docPr id="554146197" name="Chart 2">
              <a:extLst xmlns:a="http://schemas.openxmlformats.org/drawingml/2006/main">
                <a:ext uri="{FF2B5EF4-FFF2-40B4-BE49-F238E27FC236}">
                  <a16:creationId xmlns:a16="http://schemas.microsoft.com/office/drawing/2014/main" id="{8336656C-3377-835B-4613-B9BB7DBEBD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AFD8CA" w14:textId="23E5E188" w:rsidR="00E42EEF" w:rsidRPr="00DE4065" w:rsidRDefault="00E42EEF" w:rsidP="005F455A">
      <w:pPr>
        <w:rPr>
          <w:rFonts w:ascii="Arial" w:hAnsi="Arial" w:cs="Arial"/>
          <w:sz w:val="20"/>
          <w:szCs w:val="20"/>
          <w:lang w:eastAsia="en-US"/>
        </w:rPr>
      </w:pPr>
    </w:p>
    <w:p w14:paraId="2B7C8063" w14:textId="77777777" w:rsidR="00B51C23" w:rsidRPr="00DE4065" w:rsidRDefault="00B51C23" w:rsidP="00B51C23">
      <w:pPr>
        <w:ind w:left="709" w:hanging="709"/>
        <w:rPr>
          <w:rFonts w:ascii="Arial" w:hAnsi="Arial" w:cs="Arial"/>
          <w:i/>
          <w:iCs/>
          <w:sz w:val="20"/>
          <w:szCs w:val="20"/>
        </w:rPr>
      </w:pPr>
      <w:r w:rsidRPr="00DE4065">
        <w:rPr>
          <w:rFonts w:ascii="Arial" w:hAnsi="Arial" w:cs="Arial"/>
          <w:i/>
          <w:iCs/>
          <w:sz w:val="20"/>
          <w:szCs w:val="20"/>
        </w:rPr>
        <w:t>Source: Health and Business Intelligence Unit NHS Tayside</w:t>
      </w:r>
    </w:p>
    <w:p w14:paraId="2FA665D6" w14:textId="77777777" w:rsidR="004B0049" w:rsidRPr="00DE4065" w:rsidRDefault="004B0049" w:rsidP="00B51C23">
      <w:pPr>
        <w:ind w:left="709" w:hanging="709"/>
        <w:rPr>
          <w:rFonts w:ascii="Arial" w:hAnsi="Arial" w:cs="Arial"/>
          <w:i/>
          <w:iCs/>
          <w:sz w:val="20"/>
          <w:szCs w:val="20"/>
        </w:rPr>
      </w:pPr>
    </w:p>
    <w:p w14:paraId="62561D5F" w14:textId="1678C4A6" w:rsidR="00B51C23" w:rsidRDefault="00B51C23" w:rsidP="00B51C23">
      <w:pPr>
        <w:ind w:left="709" w:hanging="709"/>
        <w:rPr>
          <w:rFonts w:ascii="Arial" w:hAnsi="Arial" w:cs="Arial"/>
          <w:sz w:val="20"/>
          <w:szCs w:val="20"/>
          <w:lang w:eastAsia="en-US"/>
        </w:rPr>
      </w:pPr>
      <w:r w:rsidRPr="002C528B">
        <w:rPr>
          <w:rFonts w:ascii="Arial" w:hAnsi="Arial" w:cs="Arial"/>
          <w:sz w:val="20"/>
          <w:szCs w:val="20"/>
          <w:lang w:eastAsia="en-US"/>
        </w:rPr>
        <w:t xml:space="preserve">Note: </w:t>
      </w:r>
      <w:r w:rsidR="002C528B" w:rsidRPr="002C528B">
        <w:rPr>
          <w:rFonts w:ascii="Arial" w:hAnsi="Arial" w:cs="Arial"/>
          <w:sz w:val="20"/>
          <w:szCs w:val="20"/>
          <w:lang w:eastAsia="en-US"/>
        </w:rPr>
        <w:t>The following data groupings have been rounded up to ten in order to comply with GDPR</w:t>
      </w:r>
    </w:p>
    <w:p w14:paraId="183F91C4" w14:textId="77777777" w:rsidR="002C528B" w:rsidRPr="002C528B" w:rsidRDefault="002C528B" w:rsidP="00B51C23">
      <w:pPr>
        <w:ind w:left="709" w:hanging="709"/>
        <w:rPr>
          <w:rFonts w:ascii="Arial" w:hAnsi="Arial" w:cs="Arial"/>
          <w:sz w:val="20"/>
          <w:szCs w:val="20"/>
          <w:lang w:eastAsia="en-US"/>
        </w:rPr>
      </w:pPr>
    </w:p>
    <w:p w14:paraId="1E104CD3" w14:textId="77777777" w:rsidR="004553CC" w:rsidRPr="002C528B" w:rsidRDefault="004553CC" w:rsidP="00BF3FBC">
      <w:pPr>
        <w:pStyle w:val="ListParagraph"/>
        <w:numPr>
          <w:ilvl w:val="0"/>
          <w:numId w:val="31"/>
        </w:numPr>
        <w:rPr>
          <w:rFonts w:ascii="Arial" w:hAnsi="Arial" w:cs="Arial"/>
          <w:sz w:val="20"/>
          <w:szCs w:val="20"/>
          <w:lang w:eastAsia="en-US"/>
        </w:rPr>
      </w:pPr>
      <w:r w:rsidRPr="002C528B">
        <w:rPr>
          <w:rFonts w:ascii="Arial" w:hAnsi="Arial" w:cs="Arial"/>
          <w:sz w:val="20"/>
          <w:szCs w:val="20"/>
          <w:lang w:eastAsia="en-US"/>
        </w:rPr>
        <w:t>Under 75:</w:t>
      </w:r>
    </w:p>
    <w:p w14:paraId="4F81A978" w14:textId="5F786476" w:rsidR="00BF3FBC" w:rsidRPr="002C528B" w:rsidRDefault="004553CC" w:rsidP="004B0049">
      <w:pPr>
        <w:pStyle w:val="ListParagraph"/>
        <w:numPr>
          <w:ilvl w:val="1"/>
          <w:numId w:val="31"/>
        </w:numPr>
        <w:ind w:left="426" w:firstLine="567"/>
        <w:rPr>
          <w:rFonts w:ascii="Arial" w:hAnsi="Arial" w:cs="Arial"/>
          <w:sz w:val="20"/>
          <w:szCs w:val="20"/>
          <w:lang w:eastAsia="en-US"/>
        </w:rPr>
      </w:pPr>
      <w:r w:rsidRPr="002C528B">
        <w:rPr>
          <w:rFonts w:ascii="Arial" w:hAnsi="Arial" w:cs="Arial"/>
          <w:sz w:val="20"/>
          <w:szCs w:val="20"/>
          <w:lang w:eastAsia="en-US"/>
        </w:rPr>
        <w:t xml:space="preserve"> 8-14 </w:t>
      </w:r>
      <w:r w:rsidR="00C2324D" w:rsidRPr="002C528B">
        <w:rPr>
          <w:rFonts w:ascii="Arial" w:hAnsi="Arial" w:cs="Arial"/>
          <w:sz w:val="20"/>
          <w:szCs w:val="20"/>
          <w:lang w:eastAsia="en-US"/>
        </w:rPr>
        <w:t>Non-Acute</w:t>
      </w:r>
      <w:r w:rsidR="008E76CD" w:rsidRPr="002C528B">
        <w:rPr>
          <w:rFonts w:ascii="Arial" w:hAnsi="Arial" w:cs="Arial"/>
          <w:sz w:val="20"/>
          <w:szCs w:val="20"/>
          <w:lang w:eastAsia="en-US"/>
        </w:rPr>
        <w:t xml:space="preserve"> and Mental Health</w:t>
      </w:r>
    </w:p>
    <w:p w14:paraId="5A1E7D22" w14:textId="713158C4" w:rsidR="00D30EEC" w:rsidRPr="002C528B" w:rsidRDefault="00D30EEC" w:rsidP="004B0049">
      <w:pPr>
        <w:pStyle w:val="ListParagraph"/>
        <w:numPr>
          <w:ilvl w:val="1"/>
          <w:numId w:val="31"/>
        </w:numPr>
        <w:ind w:left="426" w:firstLine="567"/>
        <w:rPr>
          <w:rFonts w:ascii="Arial" w:hAnsi="Arial" w:cs="Arial"/>
          <w:sz w:val="20"/>
          <w:szCs w:val="20"/>
          <w:lang w:eastAsia="en-US"/>
        </w:rPr>
      </w:pPr>
      <w:r w:rsidRPr="002C528B">
        <w:rPr>
          <w:rFonts w:ascii="Arial" w:hAnsi="Arial" w:cs="Arial"/>
          <w:sz w:val="20"/>
          <w:szCs w:val="20"/>
          <w:lang w:eastAsia="en-US"/>
        </w:rPr>
        <w:t xml:space="preserve">15-28 </w:t>
      </w:r>
      <w:r w:rsidR="00C2324D" w:rsidRPr="002C528B">
        <w:rPr>
          <w:rFonts w:ascii="Arial" w:hAnsi="Arial" w:cs="Arial"/>
          <w:sz w:val="20"/>
          <w:szCs w:val="20"/>
          <w:lang w:eastAsia="en-US"/>
        </w:rPr>
        <w:t>Non-Acute</w:t>
      </w:r>
      <w:r w:rsidRPr="002C528B">
        <w:rPr>
          <w:rFonts w:ascii="Arial" w:hAnsi="Arial" w:cs="Arial"/>
          <w:sz w:val="20"/>
          <w:szCs w:val="20"/>
          <w:lang w:eastAsia="en-US"/>
        </w:rPr>
        <w:t xml:space="preserve"> and Mental Health</w:t>
      </w:r>
    </w:p>
    <w:p w14:paraId="5DDF89B9" w14:textId="15CE7C4E" w:rsidR="00540C8D" w:rsidRPr="002C528B" w:rsidRDefault="00540C8D" w:rsidP="00540C8D">
      <w:pPr>
        <w:pStyle w:val="ListParagraph"/>
        <w:numPr>
          <w:ilvl w:val="0"/>
          <w:numId w:val="31"/>
        </w:numPr>
        <w:rPr>
          <w:rFonts w:ascii="Arial" w:hAnsi="Arial" w:cs="Arial"/>
          <w:sz w:val="20"/>
          <w:szCs w:val="20"/>
          <w:lang w:eastAsia="en-US"/>
        </w:rPr>
      </w:pPr>
      <w:r w:rsidRPr="002C528B">
        <w:rPr>
          <w:rFonts w:ascii="Arial" w:hAnsi="Arial" w:cs="Arial"/>
          <w:sz w:val="20"/>
          <w:szCs w:val="20"/>
          <w:lang w:eastAsia="en-US"/>
        </w:rPr>
        <w:lastRenderedPageBreak/>
        <w:t>75+</w:t>
      </w:r>
    </w:p>
    <w:p w14:paraId="59EB54D0" w14:textId="3CCD7A1C" w:rsidR="00026901" w:rsidRPr="002C528B" w:rsidRDefault="00D74CBD" w:rsidP="004B0049">
      <w:pPr>
        <w:pStyle w:val="ListParagraph"/>
        <w:numPr>
          <w:ilvl w:val="1"/>
          <w:numId w:val="31"/>
        </w:numPr>
        <w:ind w:left="851" w:firstLine="142"/>
        <w:rPr>
          <w:rFonts w:ascii="Arial" w:hAnsi="Arial" w:cs="Arial"/>
          <w:sz w:val="20"/>
          <w:szCs w:val="20"/>
          <w:lang w:eastAsia="en-US"/>
        </w:rPr>
      </w:pPr>
      <w:r w:rsidRPr="002C528B">
        <w:rPr>
          <w:rFonts w:ascii="Arial" w:hAnsi="Arial" w:cs="Arial"/>
          <w:sz w:val="20"/>
          <w:szCs w:val="20"/>
          <w:lang w:eastAsia="en-US"/>
        </w:rPr>
        <w:t>0-7 Mental Health</w:t>
      </w:r>
    </w:p>
    <w:p w14:paraId="6CB59E8C" w14:textId="773959B0" w:rsidR="00D74CBD" w:rsidRPr="002C528B" w:rsidRDefault="00425F5C" w:rsidP="004B0049">
      <w:pPr>
        <w:pStyle w:val="ListParagraph"/>
        <w:numPr>
          <w:ilvl w:val="1"/>
          <w:numId w:val="31"/>
        </w:numPr>
        <w:ind w:left="851" w:firstLine="142"/>
        <w:rPr>
          <w:rFonts w:ascii="Arial" w:hAnsi="Arial" w:cs="Arial"/>
          <w:sz w:val="20"/>
          <w:szCs w:val="20"/>
          <w:lang w:eastAsia="en-US"/>
        </w:rPr>
      </w:pPr>
      <w:r w:rsidRPr="002C528B">
        <w:rPr>
          <w:rFonts w:ascii="Arial" w:hAnsi="Arial" w:cs="Arial"/>
          <w:sz w:val="20"/>
          <w:szCs w:val="20"/>
          <w:lang w:eastAsia="en-US"/>
        </w:rPr>
        <w:t>15-28 Mental Health</w:t>
      </w:r>
    </w:p>
    <w:p w14:paraId="2A5BF7D4" w14:textId="30D6B7B4" w:rsidR="00425F5C" w:rsidRPr="002C528B" w:rsidRDefault="004B0049" w:rsidP="004B0049">
      <w:pPr>
        <w:pStyle w:val="ListParagraph"/>
        <w:numPr>
          <w:ilvl w:val="1"/>
          <w:numId w:val="31"/>
        </w:numPr>
        <w:ind w:left="851" w:firstLine="142"/>
        <w:rPr>
          <w:rFonts w:ascii="Arial" w:hAnsi="Arial" w:cs="Arial"/>
          <w:sz w:val="20"/>
          <w:szCs w:val="20"/>
          <w:lang w:eastAsia="en-US"/>
        </w:rPr>
      </w:pPr>
      <w:r w:rsidRPr="002C528B">
        <w:rPr>
          <w:rFonts w:ascii="Arial" w:hAnsi="Arial" w:cs="Arial"/>
          <w:sz w:val="20"/>
          <w:szCs w:val="20"/>
          <w:lang w:eastAsia="en-US"/>
        </w:rPr>
        <w:t>&gt;28 Mental Health</w:t>
      </w:r>
    </w:p>
    <w:p w14:paraId="7E964A2B" w14:textId="77777777" w:rsidR="00E42EEF" w:rsidRPr="00DE4065" w:rsidRDefault="00E42EEF" w:rsidP="3EF05A0C">
      <w:pPr>
        <w:ind w:left="709" w:hanging="709"/>
        <w:rPr>
          <w:rFonts w:ascii="Arial" w:hAnsi="Arial" w:cs="Arial"/>
          <w:sz w:val="20"/>
          <w:szCs w:val="20"/>
          <w:lang w:eastAsia="en-US"/>
        </w:rPr>
      </w:pPr>
    </w:p>
    <w:p w14:paraId="5B5E3AC6" w14:textId="1EDB9187" w:rsidR="00CF4F67" w:rsidRDefault="00CF4F67" w:rsidP="1EFDEE87">
      <w:pPr>
        <w:autoSpaceDE w:val="0"/>
        <w:autoSpaceDN w:val="0"/>
        <w:adjustRightInd w:val="0"/>
        <w:ind w:left="709" w:hanging="709"/>
        <w:jc w:val="both"/>
        <w:rPr>
          <w:rFonts w:ascii="Arial" w:hAnsi="Arial" w:cs="Arial"/>
          <w:b/>
          <w:bCs/>
          <w:sz w:val="20"/>
          <w:szCs w:val="20"/>
        </w:rPr>
      </w:pPr>
      <w:r>
        <w:rPr>
          <w:rFonts w:ascii="Arial" w:hAnsi="Arial" w:cs="Arial"/>
          <w:b/>
          <w:bCs/>
          <w:sz w:val="20"/>
          <w:szCs w:val="20"/>
        </w:rPr>
        <w:t>7</w:t>
      </w:r>
      <w:r w:rsidR="00C16394" w:rsidRPr="00DE4065">
        <w:rPr>
          <w:rFonts w:ascii="Arial" w:hAnsi="Arial" w:cs="Arial"/>
          <w:b/>
          <w:bCs/>
          <w:sz w:val="20"/>
          <w:szCs w:val="20"/>
        </w:rPr>
        <w:t>.0</w:t>
      </w:r>
      <w:r w:rsidR="00DB8632" w:rsidRPr="00DE4065">
        <w:rPr>
          <w:rFonts w:ascii="Arial" w:hAnsi="Arial" w:cs="Arial"/>
          <w:b/>
          <w:bCs/>
          <w:sz w:val="20"/>
          <w:szCs w:val="20"/>
        </w:rPr>
        <w:t xml:space="preserve"> </w:t>
      </w:r>
      <w:r>
        <w:rPr>
          <w:rFonts w:ascii="Arial" w:hAnsi="Arial" w:cs="Arial"/>
          <w:b/>
          <w:bCs/>
          <w:sz w:val="20"/>
          <w:szCs w:val="20"/>
        </w:rPr>
        <w:tab/>
      </w:r>
      <w:r w:rsidRPr="00DE4065">
        <w:rPr>
          <w:rFonts w:ascii="Arial" w:hAnsi="Arial" w:cs="Arial"/>
          <w:sz w:val="20"/>
          <w:szCs w:val="20"/>
          <w:lang w:val="en-US" w:eastAsia="en-US"/>
        </w:rPr>
        <w:t xml:space="preserve">As a result of the ongoing improvement work within DHSCP Care at Home services, the </w:t>
      </w:r>
      <w:r>
        <w:rPr>
          <w:rFonts w:ascii="Arial" w:hAnsi="Arial" w:cs="Arial"/>
          <w:sz w:val="20"/>
          <w:szCs w:val="20"/>
          <w:lang w:val="en-US" w:eastAsia="en-US"/>
        </w:rPr>
        <w:t>bed days lost</w:t>
      </w:r>
      <w:r w:rsidRPr="00DE4065">
        <w:rPr>
          <w:rFonts w:ascii="Arial" w:hAnsi="Arial" w:cs="Arial"/>
          <w:sz w:val="20"/>
          <w:szCs w:val="20"/>
          <w:lang w:val="en-US" w:eastAsia="en-US"/>
        </w:rPr>
        <w:t xml:space="preserve"> to delay has gradually reduced over the year.  In April 2023, 604 acute bed days were lost due to reportable delays, compared to 94 in April 2024.  </w:t>
      </w:r>
    </w:p>
    <w:p w14:paraId="6124A453" w14:textId="77777777" w:rsidR="00CF4F67" w:rsidRDefault="00CF4F67" w:rsidP="1EFDEE87">
      <w:pPr>
        <w:autoSpaceDE w:val="0"/>
        <w:autoSpaceDN w:val="0"/>
        <w:adjustRightInd w:val="0"/>
        <w:ind w:left="709" w:hanging="709"/>
        <w:jc w:val="both"/>
        <w:rPr>
          <w:rFonts w:ascii="Arial" w:hAnsi="Arial" w:cs="Arial"/>
          <w:b/>
          <w:bCs/>
          <w:sz w:val="20"/>
          <w:szCs w:val="20"/>
        </w:rPr>
      </w:pPr>
    </w:p>
    <w:p w14:paraId="67F9526E" w14:textId="77777777" w:rsidR="00CF4F67" w:rsidRDefault="00CF4F67" w:rsidP="1EFDEE87">
      <w:pPr>
        <w:autoSpaceDE w:val="0"/>
        <w:autoSpaceDN w:val="0"/>
        <w:adjustRightInd w:val="0"/>
        <w:ind w:left="709" w:hanging="709"/>
        <w:jc w:val="both"/>
        <w:rPr>
          <w:rFonts w:ascii="Arial" w:hAnsi="Arial" w:cs="Arial"/>
          <w:b/>
          <w:bCs/>
          <w:sz w:val="20"/>
          <w:szCs w:val="20"/>
        </w:rPr>
      </w:pPr>
    </w:p>
    <w:p w14:paraId="5382CF44" w14:textId="77777777" w:rsidR="00CF4F67" w:rsidRPr="00CF4F67" w:rsidRDefault="00CF4F67" w:rsidP="00CF4F67">
      <w:pPr>
        <w:autoSpaceDE w:val="0"/>
        <w:autoSpaceDN w:val="0"/>
        <w:adjustRightInd w:val="0"/>
        <w:ind w:left="709"/>
        <w:jc w:val="both"/>
        <w:rPr>
          <w:rFonts w:ascii="Arial" w:hAnsi="Arial" w:cs="Arial"/>
          <w:b/>
          <w:bCs/>
          <w:sz w:val="20"/>
          <w:szCs w:val="20"/>
          <w:lang w:val="en-US" w:eastAsia="en-US"/>
        </w:rPr>
      </w:pPr>
      <w:r>
        <w:rPr>
          <w:rFonts w:ascii="Arial" w:hAnsi="Arial" w:cs="Arial"/>
          <w:b/>
          <w:bCs/>
          <w:sz w:val="20"/>
          <w:szCs w:val="20"/>
        </w:rPr>
        <w:t xml:space="preserve">Chart 6 </w:t>
      </w:r>
      <w:r w:rsidRPr="00CF4F67">
        <w:rPr>
          <w:rFonts w:ascii="Arial" w:hAnsi="Arial" w:cs="Arial"/>
          <w:b/>
          <w:bCs/>
          <w:sz w:val="20"/>
          <w:szCs w:val="20"/>
          <w:lang w:val="en-US" w:eastAsia="en-US"/>
        </w:rPr>
        <w:t>Impact of Social Care Unmet Need on Bed Days Lost Delayed in Acute Hospital - Dundee HSCP</w:t>
      </w:r>
    </w:p>
    <w:p w14:paraId="4FB46D1D" w14:textId="5C5657EA" w:rsidR="00810AD1" w:rsidRPr="00DE4065" w:rsidRDefault="00810AD1" w:rsidP="00CF4F67">
      <w:pPr>
        <w:autoSpaceDE w:val="0"/>
        <w:autoSpaceDN w:val="0"/>
        <w:adjustRightInd w:val="0"/>
        <w:ind w:left="709"/>
        <w:jc w:val="both"/>
        <w:rPr>
          <w:rFonts w:ascii="Arial" w:hAnsi="Arial" w:cs="Arial"/>
          <w:b/>
          <w:sz w:val="20"/>
          <w:szCs w:val="20"/>
          <w:lang w:eastAsia="en-US"/>
        </w:rPr>
      </w:pPr>
    </w:p>
    <w:p w14:paraId="03831030" w14:textId="304C321D" w:rsidR="00FF4AC3" w:rsidRPr="00DE4065" w:rsidRDefault="00AA5DA0" w:rsidP="00C95AFD">
      <w:pPr>
        <w:autoSpaceDE w:val="0"/>
        <w:autoSpaceDN w:val="0"/>
        <w:adjustRightInd w:val="0"/>
        <w:ind w:left="709" w:hanging="709"/>
        <w:rPr>
          <w:rFonts w:ascii="Arial" w:hAnsi="Arial" w:cs="Arial"/>
          <w:b/>
          <w:sz w:val="20"/>
          <w:szCs w:val="20"/>
          <w:lang w:eastAsia="en-US"/>
        </w:rPr>
      </w:pPr>
      <w:r>
        <w:rPr>
          <w:noProof/>
        </w:rPr>
        <w:drawing>
          <wp:inline distT="0" distB="0" distL="0" distR="0" wp14:anchorId="6224513F" wp14:editId="09F1AF41">
            <wp:extent cx="5760085" cy="2992755"/>
            <wp:effectExtent l="0" t="0" r="0" b="0"/>
            <wp:docPr id="2035391684" name="Picture 1" descr="A graph with green lin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91684" name="Picture 1" descr="A graph with green line and number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2992755"/>
                    </a:xfrm>
                    <a:prstGeom prst="rect">
                      <a:avLst/>
                    </a:prstGeom>
                    <a:noFill/>
                    <a:ln>
                      <a:noFill/>
                    </a:ln>
                  </pic:spPr>
                </pic:pic>
              </a:graphicData>
            </a:graphic>
          </wp:inline>
        </w:drawing>
      </w:r>
    </w:p>
    <w:p w14:paraId="07EE154C" w14:textId="3A4B9617" w:rsidR="009454D0" w:rsidRPr="00DE4065" w:rsidRDefault="00CF4F67" w:rsidP="00DB651C">
      <w:pPr>
        <w:autoSpaceDE w:val="0"/>
        <w:autoSpaceDN w:val="0"/>
        <w:adjustRightInd w:val="0"/>
        <w:ind w:left="709" w:hanging="709"/>
        <w:rPr>
          <w:rFonts w:ascii="Arial" w:hAnsi="Arial" w:cs="Arial"/>
          <w:sz w:val="20"/>
          <w:szCs w:val="20"/>
          <w:lang w:val="en-US" w:eastAsia="en-US"/>
        </w:rPr>
      </w:pPr>
      <w:r>
        <w:rPr>
          <w:rFonts w:ascii="Arial" w:hAnsi="Arial" w:cs="Arial"/>
          <w:sz w:val="20"/>
          <w:szCs w:val="20"/>
          <w:lang w:val="en-US" w:eastAsia="en-US"/>
        </w:rPr>
        <w:t>7.1</w:t>
      </w:r>
      <w:r w:rsidR="00DB651C" w:rsidRPr="00DE4065">
        <w:rPr>
          <w:rFonts w:ascii="Arial" w:hAnsi="Arial" w:cs="Arial"/>
          <w:sz w:val="20"/>
          <w:szCs w:val="20"/>
          <w:lang w:val="en-US" w:eastAsia="en-US"/>
        </w:rPr>
        <w:tab/>
      </w:r>
      <w:r w:rsidR="009454D0" w:rsidRPr="00DE4065">
        <w:rPr>
          <w:rFonts w:ascii="Arial" w:hAnsi="Arial" w:cs="Arial"/>
          <w:sz w:val="20"/>
          <w:szCs w:val="20"/>
          <w:lang w:val="en-US" w:eastAsia="en-US"/>
        </w:rPr>
        <w:t xml:space="preserve">An increase in unmet need </w:t>
      </w:r>
      <w:r>
        <w:rPr>
          <w:rFonts w:ascii="Arial" w:hAnsi="Arial" w:cs="Arial"/>
          <w:sz w:val="20"/>
          <w:szCs w:val="20"/>
          <w:lang w:val="en-US" w:eastAsia="en-US"/>
        </w:rPr>
        <w:t>resulted in an</w:t>
      </w:r>
      <w:r w:rsidR="009454D0" w:rsidRPr="00DE4065">
        <w:rPr>
          <w:rFonts w:ascii="Arial" w:hAnsi="Arial" w:cs="Arial"/>
          <w:sz w:val="20"/>
          <w:szCs w:val="20"/>
          <w:lang w:val="en-US" w:eastAsia="en-US"/>
        </w:rPr>
        <w:t xml:space="preserve"> increase in </w:t>
      </w:r>
      <w:r w:rsidR="00075918" w:rsidRPr="00DE4065">
        <w:rPr>
          <w:rFonts w:ascii="Arial" w:hAnsi="Arial" w:cs="Arial"/>
          <w:sz w:val="20"/>
          <w:szCs w:val="20"/>
          <w:lang w:val="en-US" w:eastAsia="en-US"/>
        </w:rPr>
        <w:t>bed days lost</w:t>
      </w:r>
      <w:r w:rsidR="009454D0" w:rsidRPr="00DE4065">
        <w:rPr>
          <w:rFonts w:ascii="Arial" w:hAnsi="Arial" w:cs="Arial"/>
          <w:sz w:val="20"/>
          <w:szCs w:val="20"/>
          <w:lang w:val="en-US" w:eastAsia="en-US"/>
        </w:rPr>
        <w:t xml:space="preserve"> in June, showing the impact social care unmet need has on delays within the hospital system.</w:t>
      </w:r>
    </w:p>
    <w:p w14:paraId="64FB2644" w14:textId="77777777" w:rsidR="00DB651C" w:rsidRPr="00DE4065" w:rsidRDefault="00DB651C" w:rsidP="00DB651C">
      <w:pPr>
        <w:autoSpaceDE w:val="0"/>
        <w:autoSpaceDN w:val="0"/>
        <w:adjustRightInd w:val="0"/>
        <w:ind w:left="709" w:hanging="709"/>
        <w:rPr>
          <w:rFonts w:ascii="Arial" w:hAnsi="Arial" w:cs="Arial"/>
          <w:sz w:val="20"/>
          <w:szCs w:val="20"/>
          <w:lang w:val="en-US" w:eastAsia="en-US"/>
        </w:rPr>
      </w:pPr>
    </w:p>
    <w:p w14:paraId="53B3B649" w14:textId="565DBDE3" w:rsidR="009454D0" w:rsidRPr="00DE4065" w:rsidRDefault="00CF4F67" w:rsidP="00DB651C">
      <w:pPr>
        <w:autoSpaceDE w:val="0"/>
        <w:autoSpaceDN w:val="0"/>
        <w:adjustRightInd w:val="0"/>
        <w:ind w:left="709" w:hanging="709"/>
        <w:rPr>
          <w:rFonts w:ascii="Arial" w:hAnsi="Arial" w:cs="Arial"/>
          <w:sz w:val="20"/>
          <w:szCs w:val="20"/>
          <w:lang w:eastAsia="en-US"/>
        </w:rPr>
      </w:pPr>
      <w:r>
        <w:rPr>
          <w:rFonts w:ascii="Arial" w:hAnsi="Arial" w:cs="Arial"/>
          <w:sz w:val="20"/>
          <w:szCs w:val="20"/>
          <w:lang w:val="en-US" w:eastAsia="en-US"/>
        </w:rPr>
        <w:t>7.2</w:t>
      </w:r>
      <w:r w:rsidR="00DB651C" w:rsidRPr="00DE4065">
        <w:rPr>
          <w:rFonts w:ascii="Arial" w:hAnsi="Arial" w:cs="Arial"/>
          <w:sz w:val="20"/>
          <w:szCs w:val="20"/>
        </w:rPr>
        <w:tab/>
      </w:r>
      <w:r>
        <w:rPr>
          <w:rFonts w:ascii="Arial" w:hAnsi="Arial" w:cs="Arial"/>
          <w:sz w:val="20"/>
          <w:szCs w:val="20"/>
        </w:rPr>
        <w:t>T</w:t>
      </w:r>
      <w:r w:rsidR="009454D0" w:rsidRPr="00DE4065">
        <w:rPr>
          <w:rFonts w:ascii="Arial" w:hAnsi="Arial" w:cs="Arial"/>
          <w:sz w:val="20"/>
          <w:szCs w:val="20"/>
          <w:lang w:val="en-US" w:eastAsia="en-US"/>
        </w:rPr>
        <w:t>he average cost of a delay bed day in 2023-24 is around £320.  That means in April 202</w:t>
      </w:r>
      <w:r>
        <w:rPr>
          <w:rFonts w:ascii="Arial" w:hAnsi="Arial" w:cs="Arial"/>
          <w:sz w:val="20"/>
          <w:szCs w:val="20"/>
          <w:lang w:val="en-US" w:eastAsia="en-US"/>
        </w:rPr>
        <w:t>3</w:t>
      </w:r>
      <w:r w:rsidR="009454D0" w:rsidRPr="00DE4065">
        <w:rPr>
          <w:rFonts w:ascii="Arial" w:hAnsi="Arial" w:cs="Arial"/>
          <w:sz w:val="20"/>
          <w:szCs w:val="20"/>
          <w:lang w:val="en-US" w:eastAsia="en-US"/>
        </w:rPr>
        <w:t>, NHS</w:t>
      </w:r>
      <w:r>
        <w:rPr>
          <w:rFonts w:ascii="Arial" w:hAnsi="Arial" w:cs="Arial"/>
          <w:sz w:val="20"/>
          <w:szCs w:val="20"/>
          <w:lang w:val="en-US" w:eastAsia="en-US"/>
        </w:rPr>
        <w:t xml:space="preserve"> Tayside was</w:t>
      </w:r>
      <w:r w:rsidR="009454D0" w:rsidRPr="00DE4065">
        <w:rPr>
          <w:rFonts w:ascii="Arial" w:hAnsi="Arial" w:cs="Arial"/>
          <w:sz w:val="20"/>
          <w:szCs w:val="20"/>
          <w:lang w:val="en-US" w:eastAsia="en-US"/>
        </w:rPr>
        <w:t xml:space="preserve"> faced with a potential cost pressure of £193,280 compared to April 2024 where the cost has decreased to £30,080 – a difference of around £163,000 overall.</w:t>
      </w:r>
    </w:p>
    <w:p w14:paraId="519FAF38" w14:textId="5A142F5A" w:rsidR="00690E6B" w:rsidRPr="00DE4065" w:rsidRDefault="00690E6B" w:rsidP="5F6CE803">
      <w:pPr>
        <w:rPr>
          <w:rFonts w:ascii="Arial" w:hAnsi="Arial" w:cs="Arial"/>
          <w:b/>
          <w:sz w:val="20"/>
          <w:szCs w:val="20"/>
          <w:lang w:eastAsia="en-US"/>
        </w:rPr>
      </w:pPr>
    </w:p>
    <w:p w14:paraId="3FF31231" w14:textId="767215CD" w:rsidR="00690E6B" w:rsidRDefault="00CF4F67" w:rsidP="5F6CE803">
      <w:pPr>
        <w:autoSpaceDE w:val="0"/>
        <w:autoSpaceDN w:val="0"/>
        <w:adjustRightInd w:val="0"/>
        <w:rPr>
          <w:rFonts w:ascii="Arial" w:hAnsi="Arial" w:cs="Arial"/>
          <w:b/>
          <w:bCs/>
          <w:sz w:val="20"/>
          <w:szCs w:val="20"/>
          <w:lang w:eastAsia="en-US"/>
        </w:rPr>
      </w:pPr>
      <w:r>
        <w:rPr>
          <w:rFonts w:ascii="Arial" w:hAnsi="Arial" w:cs="Arial"/>
          <w:b/>
          <w:bCs/>
          <w:sz w:val="20"/>
          <w:szCs w:val="20"/>
          <w:lang w:eastAsia="en-US"/>
        </w:rPr>
        <w:t>8</w:t>
      </w:r>
      <w:r w:rsidR="003C4F27" w:rsidRPr="00DE4065">
        <w:rPr>
          <w:rFonts w:ascii="Arial" w:hAnsi="Arial" w:cs="Arial"/>
          <w:b/>
          <w:bCs/>
          <w:sz w:val="20"/>
          <w:szCs w:val="20"/>
          <w:lang w:eastAsia="en-US"/>
        </w:rPr>
        <w:t>.0</w:t>
      </w:r>
      <w:r w:rsidR="003C4F27" w:rsidRPr="00DE4065">
        <w:rPr>
          <w:rFonts w:ascii="Arial" w:hAnsi="Arial" w:cs="Arial"/>
          <w:sz w:val="20"/>
          <w:szCs w:val="20"/>
        </w:rPr>
        <w:tab/>
      </w:r>
      <w:r w:rsidR="003C4F27" w:rsidRPr="00DE4065">
        <w:rPr>
          <w:rFonts w:ascii="Arial" w:hAnsi="Arial" w:cs="Arial"/>
          <w:b/>
          <w:bCs/>
          <w:sz w:val="20"/>
          <w:szCs w:val="20"/>
          <w:lang w:eastAsia="en-US"/>
        </w:rPr>
        <w:t>Discharge Without Delay</w:t>
      </w:r>
    </w:p>
    <w:p w14:paraId="09AD3B61" w14:textId="77777777" w:rsidR="00CF4F67" w:rsidRDefault="00CF4F67" w:rsidP="5F6CE803">
      <w:pPr>
        <w:autoSpaceDE w:val="0"/>
        <w:autoSpaceDN w:val="0"/>
        <w:adjustRightInd w:val="0"/>
        <w:rPr>
          <w:rFonts w:ascii="Arial" w:hAnsi="Arial" w:cs="Arial"/>
          <w:b/>
          <w:bCs/>
          <w:sz w:val="20"/>
          <w:szCs w:val="20"/>
          <w:lang w:eastAsia="en-US"/>
        </w:rPr>
      </w:pPr>
    </w:p>
    <w:p w14:paraId="529E720A" w14:textId="77777777" w:rsidR="00CF4F67" w:rsidRDefault="00CF4F67" w:rsidP="00CF4F67">
      <w:pPr>
        <w:rPr>
          <w:rFonts w:ascii="Arial" w:hAnsi="Arial" w:cs="Arial"/>
          <w:sz w:val="20"/>
          <w:szCs w:val="20"/>
          <w:lang w:eastAsia="en-US"/>
        </w:rPr>
      </w:pPr>
      <w:r>
        <w:rPr>
          <w:rFonts w:ascii="Arial" w:hAnsi="Arial" w:cs="Arial"/>
          <w:sz w:val="20"/>
          <w:szCs w:val="20"/>
          <w:lang w:eastAsia="en-US"/>
        </w:rPr>
        <w:t>8.</w:t>
      </w:r>
      <w:r w:rsidRPr="00DE4065">
        <w:rPr>
          <w:rFonts w:ascii="Arial" w:hAnsi="Arial" w:cs="Arial"/>
          <w:sz w:val="20"/>
          <w:szCs w:val="20"/>
          <w:lang w:eastAsia="en-US"/>
        </w:rPr>
        <w:t xml:space="preserve">1      </w:t>
      </w:r>
      <w:r>
        <w:rPr>
          <w:rFonts w:ascii="Arial" w:hAnsi="Arial" w:cs="Arial"/>
          <w:sz w:val="20"/>
          <w:szCs w:val="20"/>
          <w:lang w:eastAsia="en-US"/>
        </w:rPr>
        <w:t>The</w:t>
      </w:r>
      <w:r w:rsidRPr="00DE4065">
        <w:rPr>
          <w:rFonts w:ascii="Arial" w:hAnsi="Arial" w:cs="Arial"/>
          <w:sz w:val="20"/>
          <w:szCs w:val="20"/>
          <w:lang w:eastAsia="en-US"/>
        </w:rPr>
        <w:t xml:space="preserve"> majority of discharges across the whole system take place without delay</w:t>
      </w:r>
      <w:r>
        <w:rPr>
          <w:rFonts w:ascii="Arial" w:hAnsi="Arial" w:cs="Arial"/>
          <w:sz w:val="20"/>
          <w:szCs w:val="20"/>
          <w:lang w:eastAsia="en-US"/>
        </w:rPr>
        <w:t>.  Chart 7</w:t>
      </w:r>
    </w:p>
    <w:p w14:paraId="7007E9B2" w14:textId="0C311926" w:rsidR="00CF4F67" w:rsidRPr="00DE4065" w:rsidRDefault="00CF4F67" w:rsidP="00CF4F67">
      <w:pPr>
        <w:ind w:left="720"/>
        <w:rPr>
          <w:rFonts w:ascii="Arial" w:hAnsi="Arial" w:cs="Arial"/>
          <w:sz w:val="20"/>
          <w:szCs w:val="20"/>
          <w:lang w:eastAsia="en-US"/>
        </w:rPr>
      </w:pPr>
      <w:r>
        <w:rPr>
          <w:rFonts w:ascii="Arial" w:hAnsi="Arial" w:cs="Arial"/>
          <w:sz w:val="20"/>
          <w:szCs w:val="20"/>
          <w:lang w:eastAsia="en-US"/>
        </w:rPr>
        <w:t>illustrates that</w:t>
      </w:r>
      <w:r w:rsidRPr="00DE4065">
        <w:rPr>
          <w:rFonts w:ascii="Arial" w:hAnsi="Arial" w:cs="Arial"/>
          <w:sz w:val="20"/>
          <w:szCs w:val="20"/>
          <w:lang w:eastAsia="en-US"/>
        </w:rPr>
        <w:t xml:space="preserve"> Tayside has consistently performed at or above the 98% national performance target.</w:t>
      </w:r>
    </w:p>
    <w:p w14:paraId="56D92478" w14:textId="77777777" w:rsidR="00CF4F67" w:rsidRDefault="00CF4F67" w:rsidP="5F6CE803">
      <w:pPr>
        <w:autoSpaceDE w:val="0"/>
        <w:autoSpaceDN w:val="0"/>
        <w:adjustRightInd w:val="0"/>
        <w:rPr>
          <w:rFonts w:ascii="Arial" w:hAnsi="Arial" w:cs="Arial"/>
          <w:b/>
          <w:bCs/>
          <w:sz w:val="20"/>
          <w:szCs w:val="20"/>
          <w:lang w:eastAsia="en-US"/>
        </w:rPr>
      </w:pPr>
    </w:p>
    <w:p w14:paraId="64482145" w14:textId="18A25429" w:rsidR="00CF4F67" w:rsidRPr="00DE4065" w:rsidRDefault="00CF4F67" w:rsidP="5F6CE803">
      <w:pPr>
        <w:autoSpaceDE w:val="0"/>
        <w:autoSpaceDN w:val="0"/>
        <w:adjustRightInd w:val="0"/>
        <w:rPr>
          <w:rFonts w:ascii="Arial" w:hAnsi="Arial" w:cs="Arial"/>
          <w:b/>
          <w:bCs/>
          <w:sz w:val="20"/>
          <w:szCs w:val="20"/>
          <w:lang w:eastAsia="en-US"/>
        </w:rPr>
      </w:pPr>
      <w:r>
        <w:rPr>
          <w:rFonts w:ascii="Arial" w:hAnsi="Arial" w:cs="Arial"/>
          <w:b/>
          <w:bCs/>
          <w:sz w:val="20"/>
          <w:szCs w:val="20"/>
          <w:lang w:eastAsia="en-US"/>
        </w:rPr>
        <w:tab/>
        <w:t>Chart 7 Discharge Without Delay (DWD) as a % of all Discharges (Tayside)</w:t>
      </w:r>
    </w:p>
    <w:p w14:paraId="0E772F2A" w14:textId="77777777" w:rsidR="00845398" w:rsidRPr="00DE4065" w:rsidRDefault="00845398" w:rsidP="5F6CE803">
      <w:pPr>
        <w:autoSpaceDE w:val="0"/>
        <w:autoSpaceDN w:val="0"/>
        <w:adjustRightInd w:val="0"/>
        <w:rPr>
          <w:rFonts w:ascii="Arial" w:hAnsi="Arial" w:cs="Arial"/>
          <w:b/>
          <w:bCs/>
          <w:sz w:val="20"/>
          <w:szCs w:val="20"/>
          <w:lang w:eastAsia="en-US"/>
        </w:rPr>
      </w:pPr>
    </w:p>
    <w:p w14:paraId="2236A0DC" w14:textId="281216EA" w:rsidR="0176309C" w:rsidRPr="00DE4065" w:rsidRDefault="00D370D9" w:rsidP="00D370D9">
      <w:pPr>
        <w:autoSpaceDE w:val="0"/>
        <w:autoSpaceDN w:val="0"/>
        <w:adjustRightInd w:val="0"/>
        <w:rPr>
          <w:rFonts w:ascii="Arial" w:hAnsi="Arial" w:cs="Arial"/>
          <w:b/>
          <w:bCs/>
          <w:sz w:val="20"/>
          <w:szCs w:val="20"/>
          <w:lang w:eastAsia="en-US"/>
        </w:rPr>
      </w:pPr>
      <w:r>
        <w:rPr>
          <w:noProof/>
        </w:rPr>
        <w:lastRenderedPageBreak/>
        <w:drawing>
          <wp:inline distT="0" distB="0" distL="0" distR="0" wp14:anchorId="686091A1" wp14:editId="4918BD5B">
            <wp:extent cx="5760085" cy="3293745"/>
            <wp:effectExtent l="0" t="0" r="0" b="1905"/>
            <wp:docPr id="534011495" name="Picture 2"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11495" name="Picture 2" descr="A graph with lines and number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3293745"/>
                    </a:xfrm>
                    <a:prstGeom prst="rect">
                      <a:avLst/>
                    </a:prstGeom>
                    <a:noFill/>
                    <a:ln>
                      <a:noFill/>
                    </a:ln>
                  </pic:spPr>
                </pic:pic>
              </a:graphicData>
            </a:graphic>
          </wp:inline>
        </w:drawing>
      </w:r>
    </w:p>
    <w:p w14:paraId="7B2480F1" w14:textId="77777777" w:rsidR="00974C81" w:rsidRDefault="00690E6B" w:rsidP="6C68C8B9">
      <w:pPr>
        <w:autoSpaceDE w:val="0"/>
        <w:autoSpaceDN w:val="0"/>
        <w:adjustRightInd w:val="0"/>
        <w:ind w:left="709" w:hanging="709"/>
        <w:rPr>
          <w:rFonts w:ascii="Arial" w:hAnsi="Arial" w:cs="Arial"/>
          <w:sz w:val="20"/>
          <w:szCs w:val="20"/>
          <w:lang w:eastAsia="en-US"/>
        </w:rPr>
      </w:pPr>
      <w:r w:rsidRPr="00DE4065">
        <w:rPr>
          <w:rFonts w:ascii="Arial" w:hAnsi="Arial" w:cs="Arial"/>
          <w:sz w:val="20"/>
          <w:szCs w:val="20"/>
          <w:lang w:eastAsia="en-US"/>
        </w:rPr>
        <w:tab/>
      </w:r>
    </w:p>
    <w:p w14:paraId="69DF169E" w14:textId="77777777" w:rsidR="00974C81" w:rsidRDefault="00974C81" w:rsidP="6C68C8B9">
      <w:pPr>
        <w:autoSpaceDE w:val="0"/>
        <w:autoSpaceDN w:val="0"/>
        <w:adjustRightInd w:val="0"/>
        <w:ind w:left="709" w:hanging="709"/>
        <w:rPr>
          <w:rFonts w:ascii="Arial" w:hAnsi="Arial" w:cs="Arial"/>
          <w:sz w:val="20"/>
          <w:szCs w:val="20"/>
          <w:lang w:eastAsia="en-US"/>
        </w:rPr>
      </w:pPr>
    </w:p>
    <w:p w14:paraId="2F619B3A" w14:textId="4273A71F" w:rsidR="00690E6B" w:rsidRPr="00DE4065" w:rsidRDefault="404B417A" w:rsidP="6C68C8B9">
      <w:pPr>
        <w:autoSpaceDE w:val="0"/>
        <w:autoSpaceDN w:val="0"/>
        <w:adjustRightInd w:val="0"/>
        <w:ind w:left="709" w:hanging="709"/>
        <w:rPr>
          <w:rFonts w:ascii="Arial" w:hAnsi="Arial" w:cs="Arial"/>
          <w:sz w:val="20"/>
          <w:szCs w:val="20"/>
          <w:lang w:eastAsia="en-US"/>
        </w:rPr>
      </w:pPr>
      <w:r w:rsidRPr="00DE4065">
        <w:rPr>
          <w:rFonts w:ascii="Arial" w:hAnsi="Arial" w:cs="Arial"/>
          <w:sz w:val="20"/>
          <w:szCs w:val="20"/>
          <w:lang w:eastAsia="en-US"/>
        </w:rPr>
        <w:t xml:space="preserve"> </w:t>
      </w:r>
    </w:p>
    <w:p w14:paraId="7AA6830A" w14:textId="77777777" w:rsidR="0074647D" w:rsidRPr="00DE4065" w:rsidRDefault="0074647D" w:rsidP="377E45CB">
      <w:pPr>
        <w:spacing w:line="259" w:lineRule="auto"/>
        <w:ind w:left="709" w:hanging="709"/>
        <w:rPr>
          <w:rFonts w:ascii="Arial" w:hAnsi="Arial" w:cs="Arial"/>
          <w:b/>
          <w:bCs/>
          <w:sz w:val="20"/>
          <w:szCs w:val="20"/>
          <w:lang w:eastAsia="en-US"/>
        </w:rPr>
      </w:pPr>
    </w:p>
    <w:p w14:paraId="31769E9B" w14:textId="015B68B5" w:rsidR="00C95AFD" w:rsidRPr="00DE4065" w:rsidRDefault="00CF4F67" w:rsidP="377E45CB">
      <w:pPr>
        <w:spacing w:line="259" w:lineRule="auto"/>
        <w:ind w:left="709" w:hanging="709"/>
        <w:rPr>
          <w:rFonts w:ascii="Arial" w:hAnsi="Arial" w:cs="Arial"/>
          <w:b/>
          <w:sz w:val="20"/>
          <w:szCs w:val="20"/>
          <w:lang w:eastAsia="en-US"/>
        </w:rPr>
      </w:pPr>
      <w:r>
        <w:rPr>
          <w:rFonts w:ascii="Arial" w:hAnsi="Arial" w:cs="Arial"/>
          <w:b/>
          <w:bCs/>
          <w:sz w:val="20"/>
          <w:szCs w:val="20"/>
          <w:lang w:eastAsia="en-US"/>
        </w:rPr>
        <w:t>9</w:t>
      </w:r>
      <w:r w:rsidR="00C95AFD" w:rsidRPr="00DE4065">
        <w:rPr>
          <w:rFonts w:ascii="Arial" w:hAnsi="Arial" w:cs="Arial"/>
          <w:b/>
          <w:bCs/>
          <w:sz w:val="20"/>
          <w:szCs w:val="20"/>
          <w:lang w:eastAsia="en-US"/>
        </w:rPr>
        <w:t>.0</w:t>
      </w:r>
      <w:r w:rsidR="00C95AFD" w:rsidRPr="00DE4065">
        <w:rPr>
          <w:rFonts w:ascii="Arial" w:hAnsi="Arial" w:cs="Arial"/>
          <w:sz w:val="20"/>
          <w:szCs w:val="20"/>
          <w:lang w:eastAsia="en-US"/>
        </w:rPr>
        <w:t xml:space="preserve"> </w:t>
      </w:r>
      <w:r w:rsidR="00C95AFD" w:rsidRPr="00DE4065">
        <w:rPr>
          <w:rFonts w:ascii="Arial" w:hAnsi="Arial" w:cs="Arial"/>
          <w:sz w:val="20"/>
          <w:szCs w:val="20"/>
        </w:rPr>
        <w:tab/>
      </w:r>
      <w:r w:rsidR="00C95AFD" w:rsidRPr="00DE4065">
        <w:rPr>
          <w:rFonts w:ascii="Arial" w:hAnsi="Arial" w:cs="Arial"/>
          <w:b/>
          <w:sz w:val="20"/>
          <w:szCs w:val="20"/>
          <w:lang w:eastAsia="en-US"/>
        </w:rPr>
        <w:t>Key Outcome Focussed Actions</w:t>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r w:rsidR="00690E6B" w:rsidRPr="00DE4065">
        <w:rPr>
          <w:rFonts w:ascii="Arial" w:hAnsi="Arial" w:cs="Arial"/>
          <w:sz w:val="20"/>
          <w:szCs w:val="20"/>
          <w:lang w:eastAsia="en-US"/>
        </w:rPr>
        <w:tab/>
      </w:r>
    </w:p>
    <w:p w14:paraId="6DD8CE52" w14:textId="77777777" w:rsidR="007B2FB4" w:rsidRDefault="007B2FB4" w:rsidP="00C95AFD">
      <w:pPr>
        <w:autoSpaceDE w:val="0"/>
        <w:autoSpaceDN w:val="0"/>
        <w:adjustRightInd w:val="0"/>
        <w:ind w:left="709" w:hanging="709"/>
        <w:rPr>
          <w:rFonts w:ascii="Arial" w:hAnsi="Arial" w:cs="Arial"/>
          <w:b/>
          <w:sz w:val="20"/>
          <w:szCs w:val="20"/>
          <w:lang w:eastAsia="en-US"/>
        </w:rPr>
      </w:pPr>
    </w:p>
    <w:p w14:paraId="240441B8" w14:textId="101B6FDA" w:rsidR="00974C81" w:rsidRDefault="00974C81" w:rsidP="00C95AFD">
      <w:pPr>
        <w:autoSpaceDE w:val="0"/>
        <w:autoSpaceDN w:val="0"/>
        <w:adjustRightInd w:val="0"/>
        <w:ind w:left="709" w:hanging="709"/>
        <w:rPr>
          <w:rFonts w:ascii="Arial" w:hAnsi="Arial" w:cs="Arial"/>
          <w:bCs/>
          <w:sz w:val="20"/>
          <w:szCs w:val="20"/>
          <w:lang w:eastAsia="en-US"/>
        </w:rPr>
      </w:pPr>
      <w:r>
        <w:rPr>
          <w:rFonts w:ascii="Arial" w:hAnsi="Arial" w:cs="Arial"/>
          <w:b/>
          <w:sz w:val="20"/>
          <w:szCs w:val="20"/>
          <w:lang w:eastAsia="en-US"/>
        </w:rPr>
        <w:t>9.1</w:t>
      </w:r>
      <w:r>
        <w:rPr>
          <w:rFonts w:ascii="Arial" w:hAnsi="Arial" w:cs="Arial"/>
          <w:b/>
          <w:sz w:val="20"/>
          <w:szCs w:val="20"/>
          <w:lang w:eastAsia="en-US"/>
        </w:rPr>
        <w:tab/>
      </w:r>
      <w:r>
        <w:rPr>
          <w:rFonts w:ascii="Arial" w:hAnsi="Arial" w:cs="Arial"/>
          <w:bCs/>
          <w:sz w:val="20"/>
          <w:szCs w:val="20"/>
          <w:lang w:eastAsia="en-US"/>
        </w:rPr>
        <w:t xml:space="preserve">Partnership services are continuing to focus on the following areas to support further improvement: </w:t>
      </w:r>
    </w:p>
    <w:p w14:paraId="716E5E7C" w14:textId="77777777" w:rsidR="00974C81" w:rsidRPr="00974C81" w:rsidRDefault="00974C81" w:rsidP="00C95AFD">
      <w:pPr>
        <w:autoSpaceDE w:val="0"/>
        <w:autoSpaceDN w:val="0"/>
        <w:adjustRightInd w:val="0"/>
        <w:ind w:left="709" w:hanging="709"/>
        <w:rPr>
          <w:rFonts w:ascii="Arial" w:hAnsi="Arial" w:cs="Arial"/>
          <w:bCs/>
          <w:sz w:val="20"/>
          <w:szCs w:val="20"/>
          <w:lang w:eastAsia="en-US"/>
        </w:rPr>
      </w:pPr>
    </w:p>
    <w:p w14:paraId="433CB44C" w14:textId="33FDBDFA" w:rsidR="007B2FB4" w:rsidRDefault="007B2FB4"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 xml:space="preserve">Continue to implement agreed actions identified within the Strategic </w:t>
      </w:r>
      <w:r w:rsidR="008A4091">
        <w:rPr>
          <w:rFonts w:ascii="Arial" w:hAnsi="Arial" w:cs="Arial"/>
          <w:sz w:val="20"/>
          <w:szCs w:val="20"/>
          <w:lang w:eastAsia="en-US"/>
        </w:rPr>
        <w:t xml:space="preserve">Commissioning </w:t>
      </w:r>
      <w:r w:rsidRPr="00DE4065">
        <w:rPr>
          <w:rFonts w:ascii="Arial" w:hAnsi="Arial" w:cs="Arial"/>
          <w:sz w:val="20"/>
          <w:szCs w:val="20"/>
          <w:lang w:eastAsia="en-US"/>
        </w:rPr>
        <w:t>Plan</w:t>
      </w:r>
      <w:r w:rsidR="008A4091">
        <w:rPr>
          <w:rFonts w:ascii="Arial" w:hAnsi="Arial" w:cs="Arial"/>
          <w:sz w:val="20"/>
          <w:szCs w:val="20"/>
          <w:lang w:eastAsia="en-US"/>
        </w:rPr>
        <w:t>.</w:t>
      </w:r>
      <w:r w:rsidRPr="00DE4065">
        <w:rPr>
          <w:rFonts w:ascii="Arial" w:hAnsi="Arial" w:cs="Arial"/>
          <w:sz w:val="20"/>
          <w:szCs w:val="20"/>
          <w:lang w:eastAsia="en-US"/>
        </w:rPr>
        <w:t> </w:t>
      </w:r>
    </w:p>
    <w:p w14:paraId="362D2FF7" w14:textId="77777777" w:rsidR="00974C81" w:rsidRPr="00DE4065" w:rsidRDefault="00974C81" w:rsidP="00974C81">
      <w:pPr>
        <w:pStyle w:val="ListParagraph"/>
        <w:autoSpaceDE w:val="0"/>
        <w:autoSpaceDN w:val="0"/>
        <w:adjustRightInd w:val="0"/>
        <w:ind w:left="1440"/>
        <w:rPr>
          <w:rFonts w:ascii="Arial" w:hAnsi="Arial" w:cs="Arial"/>
          <w:sz w:val="20"/>
          <w:szCs w:val="20"/>
          <w:lang w:eastAsia="en-US"/>
        </w:rPr>
      </w:pPr>
    </w:p>
    <w:p w14:paraId="0ADD90D1" w14:textId="5F3ED7DC" w:rsidR="007B2FB4" w:rsidRDefault="007B2FB4"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Continue to develop Community Urgent Care service as part of the </w:t>
      </w:r>
      <w:r w:rsidR="008A4091">
        <w:rPr>
          <w:rFonts w:ascii="Arial" w:hAnsi="Arial" w:cs="Arial"/>
          <w:sz w:val="20"/>
          <w:szCs w:val="20"/>
          <w:lang w:eastAsia="en-US"/>
        </w:rPr>
        <w:t>Urgent and Unscheduled Care (UUC) Board</w:t>
      </w:r>
      <w:r w:rsidRPr="00DE4065">
        <w:rPr>
          <w:rFonts w:ascii="Arial" w:hAnsi="Arial" w:cs="Arial"/>
          <w:sz w:val="20"/>
          <w:szCs w:val="20"/>
          <w:lang w:eastAsia="en-US"/>
        </w:rPr>
        <w:t> Optimising Access workstream aimed at reducing hospital presentations by 5%</w:t>
      </w:r>
      <w:r w:rsidR="008A4091">
        <w:rPr>
          <w:rFonts w:ascii="Arial" w:hAnsi="Arial" w:cs="Arial"/>
          <w:sz w:val="20"/>
          <w:szCs w:val="20"/>
          <w:lang w:eastAsia="en-US"/>
        </w:rPr>
        <w:t>.</w:t>
      </w:r>
    </w:p>
    <w:p w14:paraId="6EC28796" w14:textId="77777777" w:rsidR="00974C81" w:rsidRPr="00974C81" w:rsidRDefault="00974C81" w:rsidP="00974C81">
      <w:pPr>
        <w:pStyle w:val="ListParagraph"/>
        <w:rPr>
          <w:rFonts w:ascii="Arial" w:hAnsi="Arial" w:cs="Arial"/>
          <w:sz w:val="20"/>
          <w:szCs w:val="20"/>
          <w:lang w:eastAsia="en-US"/>
        </w:rPr>
      </w:pPr>
    </w:p>
    <w:p w14:paraId="71096728" w14:textId="1EB93270" w:rsidR="007B2FB4" w:rsidRDefault="007B2FB4"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 xml:space="preserve">Continue to maintain and sustain GREEN RAG status for delayed discharge performance </w:t>
      </w:r>
      <w:r w:rsidR="008A4091">
        <w:rPr>
          <w:rFonts w:ascii="Arial" w:hAnsi="Arial" w:cs="Arial"/>
          <w:sz w:val="20"/>
          <w:szCs w:val="20"/>
          <w:lang w:eastAsia="en-US"/>
        </w:rPr>
        <w:t xml:space="preserve">towards the </w:t>
      </w:r>
      <w:r w:rsidRPr="00DE4065">
        <w:rPr>
          <w:rFonts w:ascii="Arial" w:hAnsi="Arial" w:cs="Arial"/>
          <w:sz w:val="20"/>
          <w:szCs w:val="20"/>
          <w:lang w:eastAsia="en-US"/>
        </w:rPr>
        <w:t>suite of improvement measures across urgent and unscheduled care</w:t>
      </w:r>
      <w:r w:rsidR="008A4091">
        <w:rPr>
          <w:rFonts w:ascii="Arial" w:hAnsi="Arial" w:cs="Arial"/>
          <w:sz w:val="20"/>
          <w:szCs w:val="20"/>
          <w:lang w:eastAsia="en-US"/>
        </w:rPr>
        <w:t>.</w:t>
      </w:r>
      <w:r w:rsidRPr="00DE4065">
        <w:rPr>
          <w:rFonts w:ascii="Arial" w:hAnsi="Arial" w:cs="Arial"/>
          <w:sz w:val="20"/>
          <w:szCs w:val="20"/>
          <w:lang w:eastAsia="en-US"/>
        </w:rPr>
        <w:t> </w:t>
      </w:r>
    </w:p>
    <w:p w14:paraId="3B1D9391" w14:textId="77777777" w:rsidR="00974C81" w:rsidRPr="00974C81" w:rsidRDefault="00974C81" w:rsidP="00974C81">
      <w:pPr>
        <w:pStyle w:val="ListParagraph"/>
        <w:rPr>
          <w:rFonts w:ascii="Arial" w:hAnsi="Arial" w:cs="Arial"/>
          <w:sz w:val="20"/>
          <w:szCs w:val="20"/>
          <w:lang w:eastAsia="en-US"/>
        </w:rPr>
      </w:pPr>
    </w:p>
    <w:p w14:paraId="10C76371" w14:textId="02ED3FC8" w:rsidR="007B2FB4" w:rsidRDefault="4BE6FF44"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 xml:space="preserve">Now that </w:t>
      </w:r>
      <w:r w:rsidR="008A4091">
        <w:rPr>
          <w:rFonts w:ascii="Arial" w:hAnsi="Arial" w:cs="Arial"/>
          <w:sz w:val="20"/>
          <w:szCs w:val="20"/>
          <w:lang w:eastAsia="en-US"/>
        </w:rPr>
        <w:t>the Medicine for the Elderly</w:t>
      </w:r>
      <w:r w:rsidRPr="00DE4065">
        <w:rPr>
          <w:rFonts w:ascii="Arial" w:hAnsi="Arial" w:cs="Arial"/>
          <w:sz w:val="20"/>
          <w:szCs w:val="20"/>
          <w:lang w:eastAsia="en-US"/>
        </w:rPr>
        <w:t xml:space="preserve"> Medical Team is aligned to GP clusters and </w:t>
      </w:r>
      <w:r w:rsidR="008A4091">
        <w:rPr>
          <w:rFonts w:ascii="Arial" w:hAnsi="Arial" w:cs="Arial"/>
          <w:sz w:val="20"/>
          <w:szCs w:val="20"/>
          <w:lang w:eastAsia="en-US"/>
        </w:rPr>
        <w:t>Dundee Enhanced Care at Home Team (DECAHT)</w:t>
      </w:r>
      <w:r w:rsidRPr="00DE4065">
        <w:rPr>
          <w:rFonts w:ascii="Arial" w:hAnsi="Arial" w:cs="Arial"/>
          <w:sz w:val="20"/>
          <w:szCs w:val="20"/>
          <w:lang w:eastAsia="en-US"/>
        </w:rPr>
        <w:t xml:space="preserve">, there is a suite of improvement measures targeted at reducing harm caused by polypharmacy and </w:t>
      </w:r>
      <w:r w:rsidR="6ECD6285" w:rsidRPr="00DE4065">
        <w:rPr>
          <w:rFonts w:ascii="Arial" w:hAnsi="Arial" w:cs="Arial"/>
          <w:sz w:val="20"/>
          <w:szCs w:val="20"/>
          <w:lang w:eastAsia="en-US"/>
        </w:rPr>
        <w:t>creating ‘virtual wards’ to support primary care</w:t>
      </w:r>
      <w:r w:rsidR="008A4091">
        <w:rPr>
          <w:rFonts w:ascii="Arial" w:hAnsi="Arial" w:cs="Arial"/>
          <w:sz w:val="20"/>
          <w:szCs w:val="20"/>
          <w:lang w:eastAsia="en-US"/>
        </w:rPr>
        <w:t>.</w:t>
      </w:r>
      <w:r w:rsidR="007B2FB4" w:rsidRPr="00DE4065">
        <w:rPr>
          <w:rFonts w:ascii="Arial" w:hAnsi="Arial" w:cs="Arial"/>
          <w:sz w:val="20"/>
          <w:szCs w:val="20"/>
          <w:lang w:eastAsia="en-US"/>
        </w:rPr>
        <w:t xml:space="preserve"> </w:t>
      </w:r>
    </w:p>
    <w:p w14:paraId="06DC735F" w14:textId="77777777" w:rsidR="00974C81" w:rsidRPr="00974C81" w:rsidRDefault="00974C81" w:rsidP="00974C81">
      <w:pPr>
        <w:pStyle w:val="ListParagraph"/>
        <w:rPr>
          <w:rFonts w:ascii="Arial" w:hAnsi="Arial" w:cs="Arial"/>
          <w:sz w:val="20"/>
          <w:szCs w:val="20"/>
          <w:lang w:eastAsia="en-US"/>
        </w:rPr>
      </w:pPr>
    </w:p>
    <w:p w14:paraId="4C3EADE8" w14:textId="77777777" w:rsidR="007B2FB4" w:rsidRDefault="007B2FB4"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 xml:space="preserve">Targeted work to reinvigorate GP cluster meetings as a means of returning to ‘early intervention and prevention’ approach. </w:t>
      </w:r>
    </w:p>
    <w:p w14:paraId="5D719ACA" w14:textId="77777777" w:rsidR="00974C81" w:rsidRPr="00974C81" w:rsidRDefault="00974C81" w:rsidP="00974C81">
      <w:pPr>
        <w:pStyle w:val="ListParagraph"/>
        <w:rPr>
          <w:rFonts w:ascii="Arial" w:hAnsi="Arial" w:cs="Arial"/>
          <w:sz w:val="20"/>
          <w:szCs w:val="20"/>
          <w:lang w:eastAsia="en-US"/>
        </w:rPr>
      </w:pPr>
    </w:p>
    <w:p w14:paraId="60AAF3B3" w14:textId="4BF33921" w:rsidR="611E6029" w:rsidRDefault="611E6029" w:rsidP="7F0951A3">
      <w:pPr>
        <w:pStyle w:val="ListParagraph"/>
        <w:numPr>
          <w:ilvl w:val="0"/>
          <w:numId w:val="28"/>
        </w:numPr>
        <w:rPr>
          <w:rFonts w:ascii="Arial" w:hAnsi="Arial" w:cs="Arial"/>
          <w:sz w:val="20"/>
          <w:szCs w:val="20"/>
          <w:lang w:eastAsia="en-US"/>
        </w:rPr>
      </w:pPr>
      <w:r w:rsidRPr="00DE4065">
        <w:rPr>
          <w:rFonts w:ascii="Arial" w:hAnsi="Arial" w:cs="Arial"/>
          <w:sz w:val="20"/>
          <w:szCs w:val="20"/>
          <w:lang w:eastAsia="en-US"/>
        </w:rPr>
        <w:t>R</w:t>
      </w:r>
      <w:r w:rsidR="008A4091">
        <w:rPr>
          <w:rFonts w:ascii="Arial" w:hAnsi="Arial" w:cs="Arial"/>
          <w:sz w:val="20"/>
          <w:szCs w:val="20"/>
          <w:lang w:eastAsia="en-US"/>
        </w:rPr>
        <w:t>oyal Victoria Hospital</w:t>
      </w:r>
      <w:r w:rsidRPr="00DE4065">
        <w:rPr>
          <w:rFonts w:ascii="Arial" w:hAnsi="Arial" w:cs="Arial"/>
          <w:sz w:val="20"/>
          <w:szCs w:val="20"/>
          <w:lang w:eastAsia="en-US"/>
        </w:rPr>
        <w:t xml:space="preserve"> improvement plan in place and upper quartile length of stay achieved in all Medicine for the Elderly wards</w:t>
      </w:r>
      <w:r w:rsidR="008A4091">
        <w:rPr>
          <w:rFonts w:ascii="Arial" w:hAnsi="Arial" w:cs="Arial"/>
          <w:sz w:val="20"/>
          <w:szCs w:val="20"/>
          <w:lang w:eastAsia="en-US"/>
        </w:rPr>
        <w:t>.</w:t>
      </w:r>
    </w:p>
    <w:p w14:paraId="1A78D5E1" w14:textId="77777777" w:rsidR="00974C81" w:rsidRPr="00974C81" w:rsidRDefault="00974C81" w:rsidP="00974C81">
      <w:pPr>
        <w:pStyle w:val="ListParagraph"/>
        <w:rPr>
          <w:rFonts w:ascii="Arial" w:hAnsi="Arial" w:cs="Arial"/>
          <w:sz w:val="20"/>
          <w:szCs w:val="20"/>
          <w:lang w:eastAsia="en-US"/>
        </w:rPr>
      </w:pPr>
    </w:p>
    <w:p w14:paraId="10504654" w14:textId="4CE39069" w:rsidR="007B2FB4" w:rsidRDefault="611E6029"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Allied Health Professional Consultant appointed to lead the developing Stroke and Neuro Rehabilitation Centre (SNRC)</w:t>
      </w:r>
      <w:r w:rsidR="008A4091">
        <w:rPr>
          <w:rFonts w:ascii="Arial" w:hAnsi="Arial" w:cs="Arial"/>
          <w:sz w:val="20"/>
          <w:szCs w:val="20"/>
          <w:lang w:eastAsia="en-US"/>
        </w:rPr>
        <w:t>.</w:t>
      </w:r>
    </w:p>
    <w:p w14:paraId="5FFE4872" w14:textId="77777777" w:rsidR="00974C81" w:rsidRPr="00974C81" w:rsidRDefault="00974C81" w:rsidP="00974C81">
      <w:pPr>
        <w:pStyle w:val="ListParagraph"/>
        <w:rPr>
          <w:rFonts w:ascii="Arial" w:hAnsi="Arial" w:cs="Arial"/>
          <w:sz w:val="20"/>
          <w:szCs w:val="20"/>
          <w:lang w:eastAsia="en-US"/>
        </w:rPr>
      </w:pPr>
    </w:p>
    <w:p w14:paraId="024901F1" w14:textId="77777777" w:rsidR="00974C81" w:rsidRDefault="611E6029"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Target Operating Model for SNRC further developed and at testing stage</w:t>
      </w:r>
      <w:r w:rsidR="008A4091">
        <w:rPr>
          <w:rFonts w:ascii="Arial" w:hAnsi="Arial" w:cs="Arial"/>
          <w:sz w:val="20"/>
          <w:szCs w:val="20"/>
          <w:lang w:eastAsia="en-US"/>
        </w:rPr>
        <w:t>.</w:t>
      </w:r>
    </w:p>
    <w:p w14:paraId="45DC1B5F" w14:textId="77777777" w:rsidR="00974C81" w:rsidRPr="00974C81" w:rsidRDefault="00974C81" w:rsidP="00974C81">
      <w:pPr>
        <w:pStyle w:val="ListParagraph"/>
        <w:rPr>
          <w:rFonts w:ascii="Arial" w:hAnsi="Arial" w:cs="Arial"/>
          <w:sz w:val="20"/>
          <w:szCs w:val="20"/>
          <w:lang w:eastAsia="en-US"/>
        </w:rPr>
      </w:pPr>
    </w:p>
    <w:p w14:paraId="1AB1EA64" w14:textId="0B2EE5D4" w:rsidR="007B2FB4" w:rsidRDefault="008A4091" w:rsidP="007B2FB4">
      <w:pPr>
        <w:pStyle w:val="ListParagraph"/>
        <w:numPr>
          <w:ilvl w:val="0"/>
          <w:numId w:val="28"/>
        </w:numPr>
        <w:autoSpaceDE w:val="0"/>
        <w:autoSpaceDN w:val="0"/>
        <w:adjustRightInd w:val="0"/>
        <w:rPr>
          <w:rFonts w:ascii="Arial" w:hAnsi="Arial" w:cs="Arial"/>
          <w:sz w:val="20"/>
          <w:szCs w:val="20"/>
          <w:lang w:eastAsia="en-US"/>
        </w:rPr>
      </w:pPr>
      <w:r>
        <w:rPr>
          <w:rFonts w:ascii="Arial" w:hAnsi="Arial" w:cs="Arial"/>
          <w:sz w:val="20"/>
          <w:szCs w:val="20"/>
          <w:lang w:eastAsia="en-US"/>
        </w:rPr>
        <w:t>T</w:t>
      </w:r>
      <w:r w:rsidR="611E6029" w:rsidRPr="00DE4065">
        <w:rPr>
          <w:rFonts w:ascii="Arial" w:hAnsi="Arial" w:cs="Arial"/>
          <w:sz w:val="20"/>
          <w:szCs w:val="20"/>
          <w:lang w:eastAsia="en-US"/>
        </w:rPr>
        <w:t>e</w:t>
      </w:r>
      <w:r w:rsidR="007B2FB4" w:rsidRPr="00DE4065">
        <w:rPr>
          <w:rFonts w:ascii="Arial" w:hAnsi="Arial" w:cs="Arial"/>
          <w:sz w:val="20"/>
          <w:szCs w:val="20"/>
          <w:lang w:eastAsia="en-US"/>
        </w:rPr>
        <w:t>sting of extended hours into O</w:t>
      </w:r>
      <w:r>
        <w:rPr>
          <w:rFonts w:ascii="Arial" w:hAnsi="Arial" w:cs="Arial"/>
          <w:sz w:val="20"/>
          <w:szCs w:val="20"/>
          <w:lang w:eastAsia="en-US"/>
        </w:rPr>
        <w:t>ut of Hour</w:t>
      </w:r>
      <w:r w:rsidR="007B2FB4" w:rsidRPr="00DE4065">
        <w:rPr>
          <w:rFonts w:ascii="Arial" w:hAnsi="Arial" w:cs="Arial"/>
          <w:sz w:val="20"/>
          <w:szCs w:val="20"/>
          <w:lang w:eastAsia="en-US"/>
        </w:rPr>
        <w:t>s period for DECAHT continues</w:t>
      </w:r>
      <w:r>
        <w:rPr>
          <w:rFonts w:ascii="Arial" w:hAnsi="Arial" w:cs="Arial"/>
          <w:sz w:val="20"/>
          <w:szCs w:val="20"/>
          <w:lang w:eastAsia="en-US"/>
        </w:rPr>
        <w:t>.</w:t>
      </w:r>
    </w:p>
    <w:p w14:paraId="7AADBE74" w14:textId="77777777" w:rsidR="00974C81" w:rsidRPr="00974C81" w:rsidRDefault="00974C81" w:rsidP="00974C81">
      <w:pPr>
        <w:pStyle w:val="ListParagraph"/>
        <w:rPr>
          <w:rFonts w:ascii="Arial" w:hAnsi="Arial" w:cs="Arial"/>
          <w:sz w:val="20"/>
          <w:szCs w:val="20"/>
          <w:lang w:eastAsia="en-US"/>
        </w:rPr>
      </w:pPr>
    </w:p>
    <w:p w14:paraId="3679CB48" w14:textId="16368B7D" w:rsidR="007B2FB4" w:rsidRDefault="007B2FB4"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lastRenderedPageBreak/>
        <w:t xml:space="preserve">Senior Nurse UUC leads clinically on Optimising Flow workstream targeted at achieving upper quartile </w:t>
      </w:r>
      <w:r w:rsidR="008A4091">
        <w:rPr>
          <w:rFonts w:ascii="Arial" w:hAnsi="Arial" w:cs="Arial"/>
          <w:sz w:val="20"/>
          <w:szCs w:val="20"/>
          <w:lang w:eastAsia="en-US"/>
        </w:rPr>
        <w:t>length of stay</w:t>
      </w:r>
      <w:r w:rsidRPr="00DE4065">
        <w:rPr>
          <w:rFonts w:ascii="Arial" w:hAnsi="Arial" w:cs="Arial"/>
          <w:sz w:val="20"/>
          <w:szCs w:val="20"/>
          <w:lang w:eastAsia="en-US"/>
        </w:rPr>
        <w:t xml:space="preserve"> in all wards areas in Tayside</w:t>
      </w:r>
      <w:r w:rsidR="008A4091">
        <w:rPr>
          <w:rFonts w:ascii="Arial" w:hAnsi="Arial" w:cs="Arial"/>
          <w:sz w:val="20"/>
          <w:szCs w:val="20"/>
          <w:lang w:eastAsia="en-US"/>
        </w:rPr>
        <w:t>.</w:t>
      </w:r>
      <w:r w:rsidRPr="00DE4065">
        <w:rPr>
          <w:rFonts w:ascii="Arial" w:hAnsi="Arial" w:cs="Arial"/>
          <w:sz w:val="20"/>
          <w:szCs w:val="20"/>
          <w:lang w:eastAsia="en-US"/>
        </w:rPr>
        <w:t xml:space="preserve"> </w:t>
      </w:r>
    </w:p>
    <w:p w14:paraId="68AEA7A2" w14:textId="77777777" w:rsidR="00974C81" w:rsidRPr="00974C81" w:rsidRDefault="00974C81" w:rsidP="00974C81">
      <w:pPr>
        <w:pStyle w:val="ListParagraph"/>
        <w:rPr>
          <w:rFonts w:ascii="Arial" w:hAnsi="Arial" w:cs="Arial"/>
          <w:sz w:val="20"/>
          <w:szCs w:val="20"/>
          <w:lang w:eastAsia="en-US"/>
        </w:rPr>
      </w:pPr>
    </w:p>
    <w:p w14:paraId="04F8C4AE" w14:textId="2133B33C" w:rsidR="007B2FB4" w:rsidRDefault="007B2FB4"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Evaluation of flow coordinator role ongoing</w:t>
      </w:r>
      <w:r w:rsidR="008A4091">
        <w:rPr>
          <w:rFonts w:ascii="Arial" w:hAnsi="Arial" w:cs="Arial"/>
          <w:sz w:val="20"/>
          <w:szCs w:val="20"/>
          <w:lang w:eastAsia="en-US"/>
        </w:rPr>
        <w:t>.</w:t>
      </w:r>
      <w:r w:rsidRPr="00DE4065">
        <w:rPr>
          <w:rFonts w:ascii="Arial" w:hAnsi="Arial" w:cs="Arial"/>
          <w:sz w:val="20"/>
          <w:szCs w:val="20"/>
          <w:lang w:eastAsia="en-US"/>
        </w:rPr>
        <w:t xml:space="preserve"> </w:t>
      </w:r>
    </w:p>
    <w:p w14:paraId="45DB2321" w14:textId="77777777" w:rsidR="00974C81" w:rsidRPr="00974C81" w:rsidRDefault="00974C81" w:rsidP="00974C81">
      <w:pPr>
        <w:pStyle w:val="ListParagraph"/>
        <w:rPr>
          <w:rFonts w:ascii="Arial" w:hAnsi="Arial" w:cs="Arial"/>
          <w:sz w:val="20"/>
          <w:szCs w:val="20"/>
          <w:lang w:eastAsia="en-US"/>
        </w:rPr>
      </w:pPr>
    </w:p>
    <w:p w14:paraId="79785189" w14:textId="0040203C" w:rsidR="007B2FB4" w:rsidRDefault="11E6F0DD"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 xml:space="preserve">Plan to open further frailty unit which will complete the cluster focussed frailty pathway scheduled for </w:t>
      </w:r>
      <w:r w:rsidR="008A4091" w:rsidRPr="00DE4065">
        <w:rPr>
          <w:rFonts w:ascii="Arial" w:hAnsi="Arial" w:cs="Arial"/>
          <w:sz w:val="20"/>
          <w:szCs w:val="20"/>
          <w:lang w:eastAsia="en-US"/>
        </w:rPr>
        <w:t>mid-September</w:t>
      </w:r>
      <w:r w:rsidR="008A4091">
        <w:rPr>
          <w:rFonts w:ascii="Arial" w:hAnsi="Arial" w:cs="Arial"/>
          <w:sz w:val="20"/>
          <w:szCs w:val="20"/>
          <w:lang w:eastAsia="en-US"/>
        </w:rPr>
        <w:t>.</w:t>
      </w:r>
      <w:r w:rsidRPr="00DE4065">
        <w:rPr>
          <w:rFonts w:ascii="Arial" w:hAnsi="Arial" w:cs="Arial"/>
          <w:sz w:val="20"/>
          <w:szCs w:val="20"/>
          <w:lang w:eastAsia="en-US"/>
        </w:rPr>
        <w:t xml:space="preserve"> </w:t>
      </w:r>
    </w:p>
    <w:p w14:paraId="0C50E09C" w14:textId="77777777" w:rsidR="00974C81" w:rsidRPr="00974C81" w:rsidRDefault="00974C81" w:rsidP="00974C81">
      <w:pPr>
        <w:pStyle w:val="ListParagraph"/>
        <w:rPr>
          <w:rFonts w:ascii="Arial" w:hAnsi="Arial" w:cs="Arial"/>
          <w:sz w:val="20"/>
          <w:szCs w:val="20"/>
          <w:lang w:eastAsia="en-US"/>
        </w:rPr>
      </w:pPr>
    </w:p>
    <w:p w14:paraId="17DCE072" w14:textId="764A6C96" w:rsidR="007B2FB4" w:rsidRDefault="274357E0"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Commissioned social care service (D2A) working with multidisciplinary team in Frailty Unit with aim of supporting early discharge and achieving zero delays in this area</w:t>
      </w:r>
      <w:r w:rsidR="008A4091">
        <w:rPr>
          <w:rFonts w:ascii="Arial" w:hAnsi="Arial" w:cs="Arial"/>
          <w:sz w:val="20"/>
          <w:szCs w:val="20"/>
          <w:lang w:eastAsia="en-US"/>
        </w:rPr>
        <w:t>.</w:t>
      </w:r>
      <w:r w:rsidRPr="00DE4065">
        <w:rPr>
          <w:rFonts w:ascii="Arial" w:hAnsi="Arial" w:cs="Arial"/>
          <w:sz w:val="20"/>
          <w:szCs w:val="20"/>
          <w:lang w:eastAsia="en-US"/>
        </w:rPr>
        <w:t xml:space="preserve"> </w:t>
      </w:r>
    </w:p>
    <w:p w14:paraId="139B3A18" w14:textId="77777777" w:rsidR="00974C81" w:rsidRPr="00974C81" w:rsidRDefault="00974C81" w:rsidP="00974C81">
      <w:pPr>
        <w:pStyle w:val="ListParagraph"/>
        <w:rPr>
          <w:rFonts w:ascii="Arial" w:hAnsi="Arial" w:cs="Arial"/>
          <w:sz w:val="20"/>
          <w:szCs w:val="20"/>
          <w:lang w:eastAsia="en-US"/>
        </w:rPr>
      </w:pPr>
    </w:p>
    <w:p w14:paraId="4E994335" w14:textId="25CF6A7C" w:rsidR="007B2FB4" w:rsidRPr="00DE4065" w:rsidRDefault="007B2FB4" w:rsidP="007B2FB4">
      <w:pPr>
        <w:pStyle w:val="ListParagraph"/>
        <w:numPr>
          <w:ilvl w:val="0"/>
          <w:numId w:val="28"/>
        </w:numPr>
        <w:autoSpaceDE w:val="0"/>
        <w:autoSpaceDN w:val="0"/>
        <w:adjustRightInd w:val="0"/>
        <w:rPr>
          <w:rFonts w:ascii="Arial" w:hAnsi="Arial" w:cs="Arial"/>
          <w:sz w:val="20"/>
          <w:szCs w:val="20"/>
          <w:lang w:eastAsia="en-US"/>
        </w:rPr>
      </w:pPr>
      <w:r w:rsidRPr="00DE4065">
        <w:rPr>
          <w:rFonts w:ascii="Arial" w:hAnsi="Arial" w:cs="Arial"/>
          <w:sz w:val="20"/>
          <w:szCs w:val="20"/>
          <w:lang w:eastAsia="en-US"/>
        </w:rPr>
        <w:t>Alignment between </w:t>
      </w:r>
      <w:r w:rsidR="008A4091">
        <w:rPr>
          <w:rFonts w:ascii="Arial" w:hAnsi="Arial" w:cs="Arial"/>
          <w:sz w:val="20"/>
          <w:szCs w:val="20"/>
          <w:lang w:eastAsia="en-US"/>
        </w:rPr>
        <w:t>Allied Health Professional</w:t>
      </w:r>
      <w:r w:rsidRPr="00DE4065">
        <w:rPr>
          <w:rFonts w:ascii="Arial" w:hAnsi="Arial" w:cs="Arial"/>
          <w:sz w:val="20"/>
          <w:szCs w:val="20"/>
          <w:lang w:eastAsia="en-US"/>
        </w:rPr>
        <w:t xml:space="preserve"> assessment in the inpatient and community settings  </w:t>
      </w:r>
    </w:p>
    <w:p w14:paraId="52EE0674" w14:textId="77777777" w:rsidR="00C32441" w:rsidRPr="00DE4065" w:rsidRDefault="00C32441" w:rsidP="00B30B93">
      <w:pPr>
        <w:autoSpaceDE w:val="0"/>
        <w:autoSpaceDN w:val="0"/>
        <w:adjustRightInd w:val="0"/>
        <w:ind w:left="709" w:hanging="709"/>
        <w:jc w:val="both"/>
        <w:rPr>
          <w:rFonts w:ascii="Arial" w:hAnsi="Arial" w:cs="Arial"/>
          <w:b/>
          <w:bCs/>
          <w:sz w:val="20"/>
          <w:szCs w:val="20"/>
        </w:rPr>
      </w:pPr>
    </w:p>
    <w:p w14:paraId="20E1E69B" w14:textId="2D021D50" w:rsidR="006C0814" w:rsidRPr="00DE4065" w:rsidRDefault="00CF4F67" w:rsidP="00B30B93">
      <w:pPr>
        <w:autoSpaceDE w:val="0"/>
        <w:autoSpaceDN w:val="0"/>
        <w:adjustRightInd w:val="0"/>
        <w:ind w:left="709" w:hanging="709"/>
        <w:jc w:val="both"/>
        <w:rPr>
          <w:rFonts w:ascii="Arial" w:hAnsi="Arial" w:cs="Arial"/>
          <w:b/>
          <w:sz w:val="20"/>
          <w:szCs w:val="20"/>
        </w:rPr>
      </w:pPr>
      <w:r>
        <w:rPr>
          <w:rFonts w:ascii="Arial" w:hAnsi="Arial" w:cs="Arial"/>
          <w:b/>
          <w:bCs/>
          <w:sz w:val="20"/>
          <w:szCs w:val="20"/>
        </w:rPr>
        <w:t>10</w:t>
      </w:r>
      <w:r w:rsidR="03D79F22" w:rsidRPr="00DE4065">
        <w:rPr>
          <w:rFonts w:ascii="Arial" w:hAnsi="Arial" w:cs="Arial"/>
          <w:b/>
          <w:bCs/>
          <w:sz w:val="20"/>
          <w:szCs w:val="20"/>
        </w:rPr>
        <w:t>.0</w:t>
      </w:r>
      <w:r w:rsidR="006C0814" w:rsidRPr="00DE4065">
        <w:rPr>
          <w:rFonts w:ascii="Arial" w:hAnsi="Arial" w:cs="Arial"/>
          <w:sz w:val="20"/>
          <w:szCs w:val="20"/>
        </w:rPr>
        <w:tab/>
      </w:r>
      <w:r w:rsidR="006C0814" w:rsidRPr="00DE4065">
        <w:rPr>
          <w:rFonts w:ascii="Arial" w:hAnsi="Arial" w:cs="Arial"/>
          <w:b/>
          <w:sz w:val="20"/>
          <w:szCs w:val="20"/>
        </w:rPr>
        <w:t>POLICY IMPLICATIONS</w:t>
      </w:r>
    </w:p>
    <w:p w14:paraId="155889E0" w14:textId="77777777" w:rsidR="006C0814" w:rsidRPr="00DE4065" w:rsidRDefault="006C0814" w:rsidP="00B30B93">
      <w:pPr>
        <w:autoSpaceDE w:val="0"/>
        <w:autoSpaceDN w:val="0"/>
        <w:adjustRightInd w:val="0"/>
        <w:ind w:left="709" w:hanging="709"/>
        <w:jc w:val="both"/>
        <w:rPr>
          <w:rFonts w:ascii="Arial" w:hAnsi="Arial" w:cs="Arial"/>
          <w:b/>
          <w:sz w:val="20"/>
          <w:szCs w:val="20"/>
        </w:rPr>
      </w:pPr>
    </w:p>
    <w:p w14:paraId="2F5DE623" w14:textId="2961B13E" w:rsidR="000657F8" w:rsidRDefault="00F05F30" w:rsidP="00B30B93">
      <w:pPr>
        <w:ind w:left="709" w:hanging="709"/>
        <w:jc w:val="both"/>
        <w:rPr>
          <w:rStyle w:val="normaltextrun"/>
          <w:rFonts w:ascii="Arial" w:hAnsi="Arial" w:cs="Arial"/>
          <w:color w:val="000000"/>
          <w:sz w:val="20"/>
          <w:szCs w:val="20"/>
          <w:shd w:val="clear" w:color="auto" w:fill="FFFFFF"/>
        </w:rPr>
      </w:pPr>
      <w:r w:rsidRPr="00DE4065">
        <w:rPr>
          <w:rFonts w:ascii="Arial" w:hAnsi="Arial" w:cs="Arial"/>
          <w:sz w:val="20"/>
          <w:szCs w:val="20"/>
        </w:rPr>
        <w:t>1</w:t>
      </w:r>
      <w:r w:rsidR="00CF4F67">
        <w:rPr>
          <w:rFonts w:ascii="Arial" w:hAnsi="Arial" w:cs="Arial"/>
          <w:sz w:val="20"/>
          <w:szCs w:val="20"/>
        </w:rPr>
        <w:t>0</w:t>
      </w:r>
      <w:r w:rsidR="3247BBB8" w:rsidRPr="00DE4065">
        <w:rPr>
          <w:rFonts w:ascii="Arial" w:hAnsi="Arial" w:cs="Arial"/>
          <w:sz w:val="20"/>
          <w:szCs w:val="20"/>
        </w:rPr>
        <w:t>.</w:t>
      </w:r>
      <w:r w:rsidRPr="00DE4065">
        <w:rPr>
          <w:rFonts w:ascii="Arial" w:hAnsi="Arial" w:cs="Arial"/>
          <w:sz w:val="20"/>
          <w:szCs w:val="20"/>
        </w:rPr>
        <w:t>1</w:t>
      </w:r>
      <w:r w:rsidR="006C0814" w:rsidRPr="00DE4065">
        <w:rPr>
          <w:rFonts w:ascii="Arial" w:hAnsi="Arial" w:cs="Arial"/>
          <w:sz w:val="20"/>
          <w:szCs w:val="20"/>
        </w:rPr>
        <w:tab/>
      </w:r>
      <w:r w:rsidR="00103ADF" w:rsidRPr="00DE4065">
        <w:rPr>
          <w:rStyle w:val="normaltextrun"/>
          <w:rFonts w:ascii="Arial" w:hAnsi="Arial" w:cs="Arial"/>
          <w:color w:val="000000"/>
          <w:sz w:val="20"/>
          <w:szCs w:val="2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3315D58E" w14:textId="77777777" w:rsidR="003770E6" w:rsidRDefault="003770E6" w:rsidP="00B30B93">
      <w:pPr>
        <w:ind w:left="709" w:hanging="709"/>
        <w:jc w:val="both"/>
        <w:rPr>
          <w:rStyle w:val="normaltextrun"/>
          <w:rFonts w:ascii="Arial" w:hAnsi="Arial" w:cs="Arial"/>
          <w:color w:val="000000"/>
          <w:sz w:val="20"/>
          <w:szCs w:val="20"/>
          <w:shd w:val="clear" w:color="auto" w:fill="FFFFFF"/>
        </w:rPr>
      </w:pPr>
    </w:p>
    <w:p w14:paraId="28E60E47" w14:textId="77777777" w:rsidR="003770E6" w:rsidRDefault="003770E6" w:rsidP="00B30B93">
      <w:pPr>
        <w:ind w:left="709" w:hanging="709"/>
        <w:jc w:val="both"/>
        <w:rPr>
          <w:rStyle w:val="normaltextrun"/>
          <w:rFonts w:ascii="Arial" w:hAnsi="Arial" w:cs="Arial"/>
          <w:color w:val="000000"/>
          <w:sz w:val="20"/>
          <w:szCs w:val="20"/>
          <w:shd w:val="clear" w:color="auto" w:fill="FFFFFF"/>
        </w:rPr>
      </w:pPr>
    </w:p>
    <w:p w14:paraId="5294E92A" w14:textId="77777777" w:rsidR="003770E6" w:rsidRDefault="003770E6" w:rsidP="00B30B93">
      <w:pPr>
        <w:ind w:left="709" w:hanging="709"/>
        <w:jc w:val="both"/>
        <w:rPr>
          <w:rStyle w:val="normaltextrun"/>
          <w:rFonts w:ascii="Arial" w:hAnsi="Arial" w:cs="Arial"/>
          <w:color w:val="000000"/>
          <w:sz w:val="20"/>
          <w:szCs w:val="20"/>
          <w:shd w:val="clear" w:color="auto" w:fill="FFFFFF"/>
        </w:rPr>
      </w:pPr>
    </w:p>
    <w:p w14:paraId="69C5CC79" w14:textId="77777777" w:rsidR="003770E6" w:rsidRDefault="003770E6" w:rsidP="00B30B93">
      <w:pPr>
        <w:ind w:left="709" w:hanging="709"/>
        <w:jc w:val="both"/>
        <w:rPr>
          <w:rStyle w:val="normaltextrun"/>
          <w:rFonts w:ascii="Arial" w:hAnsi="Arial" w:cs="Arial"/>
          <w:color w:val="000000"/>
          <w:sz w:val="20"/>
          <w:szCs w:val="20"/>
          <w:shd w:val="clear" w:color="auto" w:fill="FFFFFF"/>
        </w:rPr>
      </w:pPr>
    </w:p>
    <w:p w14:paraId="57B1721B" w14:textId="77777777" w:rsidR="003770E6" w:rsidRDefault="003770E6" w:rsidP="00B30B93">
      <w:pPr>
        <w:ind w:left="709" w:hanging="709"/>
        <w:jc w:val="both"/>
        <w:rPr>
          <w:rStyle w:val="normaltextrun"/>
          <w:rFonts w:ascii="Arial" w:hAnsi="Arial" w:cs="Arial"/>
          <w:color w:val="000000"/>
          <w:sz w:val="20"/>
          <w:szCs w:val="20"/>
          <w:shd w:val="clear" w:color="auto" w:fill="FFFFFF"/>
        </w:rPr>
      </w:pPr>
    </w:p>
    <w:p w14:paraId="570E0A60" w14:textId="77777777" w:rsidR="003770E6" w:rsidRPr="00DE4065" w:rsidRDefault="003770E6" w:rsidP="00B30B93">
      <w:pPr>
        <w:ind w:left="709" w:hanging="709"/>
        <w:jc w:val="both"/>
        <w:rPr>
          <w:rStyle w:val="normaltextrun"/>
          <w:rFonts w:ascii="Arial" w:hAnsi="Arial" w:cs="Arial"/>
          <w:color w:val="000000"/>
          <w:sz w:val="20"/>
          <w:szCs w:val="20"/>
          <w:shd w:val="clear" w:color="auto" w:fill="FFFFFF"/>
        </w:rPr>
      </w:pPr>
    </w:p>
    <w:p w14:paraId="556BE82A" w14:textId="77777777" w:rsidR="00103ADF" w:rsidRPr="00DE4065" w:rsidRDefault="00103ADF" w:rsidP="00B30B93">
      <w:pPr>
        <w:ind w:left="709" w:hanging="709"/>
        <w:jc w:val="both"/>
        <w:rPr>
          <w:rFonts w:ascii="Arial" w:hAnsi="Arial" w:cs="Arial"/>
          <w:sz w:val="20"/>
          <w:szCs w:val="20"/>
        </w:rPr>
      </w:pPr>
    </w:p>
    <w:p w14:paraId="405294A6" w14:textId="64B1530E" w:rsidR="00D57427" w:rsidRPr="00DE4065" w:rsidRDefault="74E87BF0" w:rsidP="00B30B93">
      <w:pPr>
        <w:autoSpaceDE w:val="0"/>
        <w:autoSpaceDN w:val="0"/>
        <w:adjustRightInd w:val="0"/>
        <w:ind w:left="709" w:hanging="709"/>
        <w:jc w:val="both"/>
        <w:rPr>
          <w:rFonts w:ascii="Arial" w:hAnsi="Arial" w:cs="Arial"/>
          <w:b/>
          <w:sz w:val="20"/>
          <w:szCs w:val="20"/>
        </w:rPr>
      </w:pPr>
      <w:r w:rsidRPr="00DE4065">
        <w:rPr>
          <w:rFonts w:ascii="Arial" w:hAnsi="Arial" w:cs="Arial"/>
          <w:b/>
          <w:bCs/>
          <w:sz w:val="20"/>
          <w:szCs w:val="20"/>
        </w:rPr>
        <w:t>1</w:t>
      </w:r>
      <w:r w:rsidR="00CF4F67">
        <w:rPr>
          <w:rFonts w:ascii="Arial" w:hAnsi="Arial" w:cs="Arial"/>
          <w:b/>
          <w:bCs/>
          <w:sz w:val="20"/>
          <w:szCs w:val="20"/>
        </w:rPr>
        <w:t>1</w:t>
      </w:r>
      <w:r w:rsidR="00F05F30" w:rsidRPr="00DE4065">
        <w:rPr>
          <w:rFonts w:ascii="Arial" w:hAnsi="Arial" w:cs="Arial"/>
          <w:b/>
          <w:sz w:val="20"/>
          <w:szCs w:val="20"/>
        </w:rPr>
        <w:t>.0</w:t>
      </w:r>
      <w:r w:rsidR="006C0814" w:rsidRPr="00DE4065">
        <w:rPr>
          <w:rFonts w:ascii="Arial" w:hAnsi="Arial" w:cs="Arial"/>
          <w:sz w:val="20"/>
          <w:szCs w:val="20"/>
        </w:rPr>
        <w:tab/>
      </w:r>
      <w:r w:rsidR="00D57427" w:rsidRPr="00DE4065">
        <w:rPr>
          <w:rFonts w:ascii="Arial" w:hAnsi="Arial" w:cs="Arial"/>
          <w:b/>
          <w:sz w:val="20"/>
          <w:szCs w:val="20"/>
        </w:rPr>
        <w:t>RISK ASSESSMENT</w:t>
      </w:r>
    </w:p>
    <w:p w14:paraId="3B1D71AB" w14:textId="77777777" w:rsidR="00D57427" w:rsidRPr="00DE4065" w:rsidRDefault="00D57427" w:rsidP="006C0814">
      <w:pPr>
        <w:tabs>
          <w:tab w:val="left" w:pos="993"/>
        </w:tabs>
        <w:autoSpaceDE w:val="0"/>
        <w:autoSpaceDN w:val="0"/>
        <w:adjustRightInd w:val="0"/>
        <w:ind w:left="990" w:hanging="99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D57427" w:rsidRPr="00DE4065" w14:paraId="3D873AE9" w14:textId="77777777" w:rsidTr="5A4A31C1">
        <w:tc>
          <w:tcPr>
            <w:tcW w:w="2122" w:type="dxa"/>
            <w:shd w:val="clear" w:color="auto" w:fill="auto"/>
          </w:tcPr>
          <w:p w14:paraId="739E88AE" w14:textId="77777777" w:rsidR="00D57427" w:rsidRPr="00DE4065" w:rsidRDefault="00D57427" w:rsidP="00A23858">
            <w:pPr>
              <w:rPr>
                <w:rFonts w:ascii="Arial" w:hAnsi="Arial" w:cs="Arial"/>
                <w:b/>
                <w:sz w:val="20"/>
                <w:szCs w:val="20"/>
              </w:rPr>
            </w:pPr>
            <w:r w:rsidRPr="00DE4065">
              <w:rPr>
                <w:rFonts w:ascii="Arial" w:hAnsi="Arial" w:cs="Arial"/>
                <w:b/>
                <w:sz w:val="20"/>
                <w:szCs w:val="20"/>
              </w:rPr>
              <w:t>Risk 1</w:t>
            </w:r>
          </w:p>
          <w:p w14:paraId="23EE7A11" w14:textId="77777777" w:rsidR="00D57427" w:rsidRPr="00DE4065" w:rsidRDefault="00D57427" w:rsidP="00A23858">
            <w:pPr>
              <w:rPr>
                <w:rFonts w:ascii="Arial" w:hAnsi="Arial" w:cs="Arial"/>
                <w:b/>
                <w:sz w:val="20"/>
                <w:szCs w:val="20"/>
              </w:rPr>
            </w:pPr>
            <w:r w:rsidRPr="00DE4065">
              <w:rPr>
                <w:rFonts w:ascii="Arial" w:hAnsi="Arial" w:cs="Arial"/>
                <w:b/>
                <w:sz w:val="20"/>
                <w:szCs w:val="20"/>
              </w:rPr>
              <w:t>Description</w:t>
            </w:r>
          </w:p>
        </w:tc>
        <w:tc>
          <w:tcPr>
            <w:tcW w:w="6894" w:type="dxa"/>
            <w:shd w:val="clear" w:color="auto" w:fill="auto"/>
          </w:tcPr>
          <w:p w14:paraId="0ECDA596" w14:textId="77777777" w:rsidR="00D57427" w:rsidRPr="00DE4065" w:rsidRDefault="00D57427" w:rsidP="00805D7B">
            <w:pPr>
              <w:jc w:val="both"/>
              <w:rPr>
                <w:rFonts w:ascii="Arial" w:hAnsi="Arial" w:cs="Arial"/>
                <w:sz w:val="20"/>
                <w:szCs w:val="20"/>
              </w:rPr>
            </w:pPr>
            <w:r w:rsidRPr="00DE4065">
              <w:rPr>
                <w:rFonts w:ascii="Arial" w:hAnsi="Arial" w:cs="Arial"/>
                <w:sz w:val="20"/>
                <w:szCs w:val="20"/>
              </w:rPr>
              <w:t>Every unnecessary day in hospital increases the risk of an adverse outcome for the individual, drives up the demand for institutional care and reduces the level of investment that is available for community support.</w:t>
            </w:r>
          </w:p>
          <w:p w14:paraId="025622F1" w14:textId="77777777" w:rsidR="00B149F4" w:rsidRPr="00DE4065" w:rsidRDefault="00B149F4" w:rsidP="00805D7B">
            <w:pPr>
              <w:jc w:val="both"/>
              <w:rPr>
                <w:rFonts w:ascii="Arial" w:hAnsi="Arial" w:cs="Arial"/>
                <w:sz w:val="20"/>
                <w:szCs w:val="20"/>
                <w:lang w:val="en"/>
              </w:rPr>
            </w:pPr>
          </w:p>
        </w:tc>
      </w:tr>
      <w:tr w:rsidR="00D57427" w:rsidRPr="00DE4065" w14:paraId="2CD86E06" w14:textId="77777777" w:rsidTr="5A4A31C1">
        <w:tc>
          <w:tcPr>
            <w:tcW w:w="2122" w:type="dxa"/>
            <w:shd w:val="clear" w:color="auto" w:fill="auto"/>
          </w:tcPr>
          <w:p w14:paraId="07EBE1CE" w14:textId="77777777" w:rsidR="00D57427" w:rsidRPr="00DE4065" w:rsidRDefault="00D57427" w:rsidP="00A23858">
            <w:pPr>
              <w:rPr>
                <w:rFonts w:ascii="Arial" w:hAnsi="Arial" w:cs="Arial"/>
                <w:b/>
                <w:sz w:val="20"/>
                <w:szCs w:val="20"/>
              </w:rPr>
            </w:pPr>
            <w:r w:rsidRPr="00DE4065">
              <w:rPr>
                <w:rFonts w:ascii="Arial" w:hAnsi="Arial" w:cs="Arial"/>
                <w:b/>
                <w:sz w:val="20"/>
                <w:szCs w:val="20"/>
              </w:rPr>
              <w:t>Risk Category</w:t>
            </w:r>
          </w:p>
        </w:tc>
        <w:tc>
          <w:tcPr>
            <w:tcW w:w="6894" w:type="dxa"/>
            <w:shd w:val="clear" w:color="auto" w:fill="auto"/>
          </w:tcPr>
          <w:p w14:paraId="7F424831" w14:textId="77777777" w:rsidR="00D57427" w:rsidRPr="00DE4065" w:rsidRDefault="00D57427" w:rsidP="00805D7B">
            <w:pPr>
              <w:jc w:val="both"/>
              <w:rPr>
                <w:rFonts w:ascii="Arial" w:hAnsi="Arial" w:cs="Arial"/>
                <w:sz w:val="20"/>
                <w:szCs w:val="20"/>
                <w:lang w:val="en"/>
              </w:rPr>
            </w:pPr>
            <w:r w:rsidRPr="00DE4065">
              <w:rPr>
                <w:rFonts w:ascii="Arial" w:hAnsi="Arial" w:cs="Arial"/>
                <w:sz w:val="20"/>
                <w:szCs w:val="20"/>
                <w:lang w:val="en"/>
              </w:rPr>
              <w:t>Financial, Governance, Political</w:t>
            </w:r>
          </w:p>
        </w:tc>
      </w:tr>
      <w:tr w:rsidR="00D57427" w:rsidRPr="00DE4065" w14:paraId="3DB79E29" w14:textId="77777777" w:rsidTr="5A4A31C1">
        <w:tc>
          <w:tcPr>
            <w:tcW w:w="2122" w:type="dxa"/>
            <w:shd w:val="clear" w:color="auto" w:fill="auto"/>
          </w:tcPr>
          <w:p w14:paraId="06019727" w14:textId="77777777" w:rsidR="00D57427" w:rsidRPr="00DE4065" w:rsidRDefault="00D57427" w:rsidP="00A23858">
            <w:pPr>
              <w:rPr>
                <w:rFonts w:ascii="Arial" w:hAnsi="Arial" w:cs="Arial"/>
                <w:b/>
                <w:sz w:val="20"/>
                <w:szCs w:val="20"/>
                <w:lang w:val="en"/>
              </w:rPr>
            </w:pPr>
            <w:r w:rsidRPr="00DE4065">
              <w:rPr>
                <w:rFonts w:ascii="Arial" w:hAnsi="Arial" w:cs="Arial"/>
                <w:b/>
                <w:sz w:val="20"/>
                <w:szCs w:val="20"/>
              </w:rPr>
              <w:t xml:space="preserve">Inherent Risk Level </w:t>
            </w:r>
          </w:p>
        </w:tc>
        <w:tc>
          <w:tcPr>
            <w:tcW w:w="6894" w:type="dxa"/>
            <w:shd w:val="clear" w:color="auto" w:fill="auto"/>
          </w:tcPr>
          <w:p w14:paraId="061064C6" w14:textId="77777777" w:rsidR="00D57427" w:rsidRPr="00DE4065" w:rsidRDefault="00AF1AB9" w:rsidP="00805D7B">
            <w:pPr>
              <w:jc w:val="both"/>
              <w:rPr>
                <w:rFonts w:ascii="Arial" w:hAnsi="Arial" w:cs="Arial"/>
                <w:sz w:val="20"/>
                <w:szCs w:val="20"/>
                <w:lang w:val="en"/>
              </w:rPr>
            </w:pPr>
            <w:r w:rsidRPr="00DE4065">
              <w:rPr>
                <w:rFonts w:ascii="Arial" w:hAnsi="Arial" w:cs="Arial"/>
                <w:sz w:val="20"/>
                <w:szCs w:val="20"/>
                <w:lang w:val="en"/>
              </w:rPr>
              <w:t>Likelihood 3 x Impact 5 = Risk Scoring 15 (Extreme Risk)</w:t>
            </w:r>
          </w:p>
          <w:p w14:paraId="3DF6BCD9" w14:textId="77777777" w:rsidR="00AF1AB9" w:rsidRPr="00DE4065" w:rsidRDefault="00AF1AB9" w:rsidP="00805D7B">
            <w:pPr>
              <w:jc w:val="both"/>
              <w:rPr>
                <w:rFonts w:ascii="Arial" w:hAnsi="Arial" w:cs="Arial"/>
                <w:sz w:val="20"/>
                <w:szCs w:val="20"/>
                <w:lang w:val="en"/>
              </w:rPr>
            </w:pPr>
          </w:p>
        </w:tc>
      </w:tr>
      <w:tr w:rsidR="00D57427" w:rsidRPr="00DE4065" w14:paraId="5E41193F" w14:textId="77777777" w:rsidTr="5A4A31C1">
        <w:tc>
          <w:tcPr>
            <w:tcW w:w="2122" w:type="dxa"/>
            <w:shd w:val="clear" w:color="auto" w:fill="auto"/>
          </w:tcPr>
          <w:p w14:paraId="483B4FC1" w14:textId="65E9B179" w:rsidR="00D57427" w:rsidRPr="00DE4065" w:rsidRDefault="00D57427" w:rsidP="00A23858">
            <w:pPr>
              <w:rPr>
                <w:rFonts w:ascii="Arial" w:hAnsi="Arial" w:cs="Arial"/>
                <w:sz w:val="20"/>
                <w:szCs w:val="20"/>
              </w:rPr>
            </w:pPr>
            <w:r w:rsidRPr="00DE4065">
              <w:rPr>
                <w:rFonts w:ascii="Arial" w:hAnsi="Arial" w:cs="Arial"/>
                <w:b/>
                <w:sz w:val="20"/>
                <w:szCs w:val="20"/>
              </w:rPr>
              <w:t>Mitigating Actions</w:t>
            </w:r>
            <w:r w:rsidRPr="00DE4065">
              <w:rPr>
                <w:rFonts w:ascii="Arial" w:hAnsi="Arial" w:cs="Arial"/>
                <w:sz w:val="20"/>
                <w:szCs w:val="20"/>
              </w:rPr>
              <w:t xml:space="preserve"> (including timescales and resources)</w:t>
            </w:r>
          </w:p>
        </w:tc>
        <w:tc>
          <w:tcPr>
            <w:tcW w:w="6894" w:type="dxa"/>
            <w:shd w:val="clear" w:color="auto" w:fill="auto"/>
          </w:tcPr>
          <w:p w14:paraId="266F762F" w14:textId="4B799F7C" w:rsidR="00D57427" w:rsidRPr="00DE4065" w:rsidRDefault="0B05E607" w:rsidP="00805D7B">
            <w:pPr>
              <w:pStyle w:val="ListParagraph"/>
              <w:numPr>
                <w:ilvl w:val="0"/>
                <w:numId w:val="5"/>
              </w:numPr>
              <w:jc w:val="both"/>
              <w:rPr>
                <w:rFonts w:ascii="Arial" w:hAnsi="Arial" w:cs="Arial"/>
                <w:sz w:val="20"/>
                <w:szCs w:val="20"/>
                <w:lang w:val="en"/>
              </w:rPr>
            </w:pPr>
            <w:r w:rsidRPr="00DE4065">
              <w:rPr>
                <w:rFonts w:ascii="Arial" w:hAnsi="Arial" w:cs="Arial"/>
                <w:sz w:val="20"/>
                <w:szCs w:val="20"/>
                <w:lang w:val="en"/>
              </w:rPr>
              <w:t>daily</w:t>
            </w:r>
            <w:r w:rsidR="00D57427" w:rsidRPr="00DE4065">
              <w:rPr>
                <w:rFonts w:ascii="Arial" w:hAnsi="Arial" w:cs="Arial"/>
                <w:sz w:val="20"/>
                <w:szCs w:val="20"/>
                <w:lang w:val="en"/>
              </w:rPr>
              <w:t xml:space="preserve"> review of all delays.</w:t>
            </w:r>
          </w:p>
          <w:p w14:paraId="61855A7F" w14:textId="77777777" w:rsidR="00D57427" w:rsidRPr="00DE4065" w:rsidRDefault="00AF1AB9" w:rsidP="5A4A31C1">
            <w:pPr>
              <w:pStyle w:val="ListParagraph"/>
              <w:numPr>
                <w:ilvl w:val="0"/>
                <w:numId w:val="5"/>
              </w:numPr>
              <w:jc w:val="both"/>
              <w:rPr>
                <w:rFonts w:ascii="Arial" w:hAnsi="Arial" w:cs="Arial"/>
                <w:sz w:val="20"/>
                <w:szCs w:val="20"/>
                <w:lang w:val="en-US"/>
              </w:rPr>
            </w:pPr>
            <w:r w:rsidRPr="00DE4065">
              <w:rPr>
                <w:rFonts w:ascii="Arial" w:hAnsi="Arial" w:cs="Arial"/>
                <w:sz w:val="20"/>
                <w:szCs w:val="20"/>
                <w:lang w:val="en-US"/>
              </w:rPr>
              <w:t>Range of improvement actions underway to reduce risk of delays</w:t>
            </w:r>
            <w:r w:rsidR="00D57427" w:rsidRPr="00DE4065">
              <w:rPr>
                <w:rFonts w:ascii="Arial" w:hAnsi="Arial" w:cs="Arial"/>
                <w:sz w:val="20"/>
                <w:szCs w:val="20"/>
                <w:lang w:val="en-US"/>
              </w:rPr>
              <w:t>.</w:t>
            </w:r>
          </w:p>
          <w:p w14:paraId="53EDA0DD" w14:textId="77777777" w:rsidR="00B149F4" w:rsidRPr="00DE4065" w:rsidRDefault="00B149F4" w:rsidP="00805D7B">
            <w:pPr>
              <w:pStyle w:val="ListParagraph"/>
              <w:jc w:val="both"/>
              <w:rPr>
                <w:rFonts w:ascii="Arial" w:hAnsi="Arial" w:cs="Arial"/>
                <w:sz w:val="20"/>
                <w:szCs w:val="20"/>
                <w:lang w:val="en"/>
              </w:rPr>
            </w:pPr>
          </w:p>
        </w:tc>
      </w:tr>
      <w:tr w:rsidR="00AF1AB9" w:rsidRPr="00DE4065" w14:paraId="3B9A965D" w14:textId="77777777" w:rsidTr="5A4A31C1">
        <w:tc>
          <w:tcPr>
            <w:tcW w:w="2122" w:type="dxa"/>
            <w:shd w:val="clear" w:color="auto" w:fill="auto"/>
          </w:tcPr>
          <w:p w14:paraId="0272735C" w14:textId="77777777" w:rsidR="00AF1AB9" w:rsidRPr="00DE4065" w:rsidRDefault="00AF1AB9" w:rsidP="00AF1AB9">
            <w:pPr>
              <w:jc w:val="center"/>
              <w:rPr>
                <w:rFonts w:ascii="Arial" w:hAnsi="Arial" w:cs="Arial"/>
                <w:b/>
                <w:sz w:val="20"/>
                <w:szCs w:val="20"/>
              </w:rPr>
            </w:pPr>
            <w:r w:rsidRPr="00DE4065">
              <w:rPr>
                <w:rFonts w:ascii="Arial" w:hAnsi="Arial" w:cs="Arial"/>
                <w:b/>
                <w:sz w:val="20"/>
                <w:szCs w:val="20"/>
              </w:rPr>
              <w:t>Residual Risk Level</w:t>
            </w:r>
          </w:p>
        </w:tc>
        <w:tc>
          <w:tcPr>
            <w:tcW w:w="6894" w:type="dxa"/>
            <w:shd w:val="clear" w:color="auto" w:fill="auto"/>
          </w:tcPr>
          <w:p w14:paraId="7BC0525B" w14:textId="77777777" w:rsidR="00AF1AB9" w:rsidRPr="00DE4065" w:rsidRDefault="00AF1AB9" w:rsidP="00805D7B">
            <w:pPr>
              <w:jc w:val="both"/>
              <w:rPr>
                <w:rFonts w:ascii="Arial" w:hAnsi="Arial" w:cs="Arial"/>
                <w:sz w:val="20"/>
                <w:szCs w:val="20"/>
              </w:rPr>
            </w:pPr>
            <w:r w:rsidRPr="00DE4065">
              <w:rPr>
                <w:rFonts w:ascii="Arial" w:hAnsi="Arial" w:cs="Arial"/>
                <w:sz w:val="20"/>
                <w:szCs w:val="20"/>
              </w:rPr>
              <w:t>Likelihood 3 x Impact 5 = Risk Scoring 15 (Extreme Risk)</w:t>
            </w:r>
          </w:p>
          <w:p w14:paraId="1C246746" w14:textId="77777777" w:rsidR="00AF1AB9" w:rsidRPr="00DE4065" w:rsidRDefault="00AF1AB9" w:rsidP="00805D7B">
            <w:pPr>
              <w:jc w:val="both"/>
              <w:rPr>
                <w:rFonts w:ascii="Arial" w:hAnsi="Arial" w:cs="Arial"/>
                <w:sz w:val="20"/>
                <w:szCs w:val="20"/>
              </w:rPr>
            </w:pPr>
          </w:p>
        </w:tc>
      </w:tr>
      <w:tr w:rsidR="00AF1AB9" w:rsidRPr="00DE4065" w14:paraId="44C9ADCC" w14:textId="77777777" w:rsidTr="5A4A31C1">
        <w:tc>
          <w:tcPr>
            <w:tcW w:w="2122" w:type="dxa"/>
            <w:shd w:val="clear" w:color="auto" w:fill="auto"/>
          </w:tcPr>
          <w:p w14:paraId="34872E86" w14:textId="77777777" w:rsidR="00AF1AB9" w:rsidRPr="00DE4065" w:rsidRDefault="00AF1AB9" w:rsidP="00AF1AB9">
            <w:pPr>
              <w:jc w:val="center"/>
              <w:rPr>
                <w:rFonts w:ascii="Arial" w:hAnsi="Arial" w:cs="Arial"/>
                <w:b/>
                <w:sz w:val="20"/>
                <w:szCs w:val="20"/>
                <w:lang w:val="en"/>
              </w:rPr>
            </w:pPr>
            <w:r w:rsidRPr="00DE4065">
              <w:rPr>
                <w:rFonts w:ascii="Arial" w:hAnsi="Arial" w:cs="Arial"/>
                <w:b/>
                <w:sz w:val="20"/>
                <w:szCs w:val="20"/>
              </w:rPr>
              <w:t>Planned Risk Level</w:t>
            </w:r>
          </w:p>
        </w:tc>
        <w:tc>
          <w:tcPr>
            <w:tcW w:w="6894" w:type="dxa"/>
            <w:shd w:val="clear" w:color="auto" w:fill="auto"/>
          </w:tcPr>
          <w:p w14:paraId="4110A21F" w14:textId="77777777" w:rsidR="00AF1AB9" w:rsidRPr="00DE4065" w:rsidRDefault="00AF1AB9" w:rsidP="00805D7B">
            <w:pPr>
              <w:jc w:val="both"/>
              <w:rPr>
                <w:rFonts w:ascii="Arial" w:hAnsi="Arial" w:cs="Arial"/>
                <w:sz w:val="20"/>
                <w:szCs w:val="20"/>
              </w:rPr>
            </w:pPr>
            <w:r w:rsidRPr="00DE4065">
              <w:rPr>
                <w:rFonts w:ascii="Arial" w:hAnsi="Arial" w:cs="Arial"/>
                <w:sz w:val="20"/>
                <w:szCs w:val="20"/>
              </w:rPr>
              <w:t>Likelihood 3 x Impact 5 = Risk Scoring 15 (Extreme Risk)</w:t>
            </w:r>
          </w:p>
          <w:p w14:paraId="36285821" w14:textId="77777777" w:rsidR="00AF1AB9" w:rsidRPr="00DE4065" w:rsidRDefault="00AF1AB9" w:rsidP="00805D7B">
            <w:pPr>
              <w:jc w:val="both"/>
              <w:rPr>
                <w:rFonts w:ascii="Arial" w:hAnsi="Arial" w:cs="Arial"/>
                <w:sz w:val="20"/>
                <w:szCs w:val="20"/>
                <w:lang w:val="en"/>
              </w:rPr>
            </w:pPr>
          </w:p>
        </w:tc>
      </w:tr>
      <w:tr w:rsidR="00D57427" w:rsidRPr="00DE4065" w14:paraId="1EA0244B" w14:textId="77777777" w:rsidTr="5A4A31C1">
        <w:trPr>
          <w:trHeight w:val="276"/>
        </w:trPr>
        <w:tc>
          <w:tcPr>
            <w:tcW w:w="2122" w:type="dxa"/>
            <w:shd w:val="clear" w:color="auto" w:fill="auto"/>
          </w:tcPr>
          <w:p w14:paraId="081D53B7" w14:textId="77777777" w:rsidR="00D57427" w:rsidRPr="00DE4065" w:rsidRDefault="00D57427" w:rsidP="00A23858">
            <w:pPr>
              <w:rPr>
                <w:rFonts w:ascii="Arial" w:hAnsi="Arial" w:cs="Arial"/>
                <w:b/>
                <w:sz w:val="20"/>
                <w:szCs w:val="20"/>
              </w:rPr>
            </w:pPr>
            <w:r w:rsidRPr="00DE4065">
              <w:rPr>
                <w:rFonts w:ascii="Arial" w:hAnsi="Arial" w:cs="Arial"/>
                <w:b/>
                <w:sz w:val="20"/>
                <w:szCs w:val="20"/>
              </w:rPr>
              <w:t>Approval recommendation</w:t>
            </w:r>
          </w:p>
        </w:tc>
        <w:tc>
          <w:tcPr>
            <w:tcW w:w="6894" w:type="dxa"/>
            <w:shd w:val="clear" w:color="auto" w:fill="auto"/>
          </w:tcPr>
          <w:p w14:paraId="68213678" w14:textId="77777777" w:rsidR="00D57427" w:rsidRPr="00DE4065" w:rsidRDefault="00D57427" w:rsidP="00805D7B">
            <w:pPr>
              <w:jc w:val="both"/>
              <w:rPr>
                <w:rFonts w:ascii="Arial" w:hAnsi="Arial" w:cs="Arial"/>
                <w:sz w:val="20"/>
                <w:szCs w:val="20"/>
                <w:lang w:val="en"/>
              </w:rPr>
            </w:pPr>
            <w:r w:rsidRPr="00DE4065">
              <w:rPr>
                <w:rFonts w:ascii="Arial" w:hAnsi="Arial" w:cs="Arial"/>
                <w:sz w:val="20"/>
                <w:szCs w:val="20"/>
                <w:lang w:val="en"/>
              </w:rPr>
              <w:t>The PAC is recommended to accept the risk levels with the expectation that the mitigating actions are taken forward.</w:t>
            </w:r>
          </w:p>
          <w:p w14:paraId="5D339320" w14:textId="77777777" w:rsidR="00AF1AB9" w:rsidRPr="00DE4065" w:rsidRDefault="00AF1AB9" w:rsidP="00805D7B">
            <w:pPr>
              <w:jc w:val="both"/>
              <w:rPr>
                <w:rFonts w:ascii="Arial" w:hAnsi="Arial" w:cs="Arial"/>
                <w:sz w:val="20"/>
                <w:szCs w:val="20"/>
                <w:lang w:val="en"/>
              </w:rPr>
            </w:pPr>
          </w:p>
        </w:tc>
      </w:tr>
    </w:tbl>
    <w:p w14:paraId="009D19C8" w14:textId="77777777" w:rsidR="00D57427" w:rsidRPr="00DE4065" w:rsidRDefault="00D57427" w:rsidP="006C0814">
      <w:pPr>
        <w:tabs>
          <w:tab w:val="left" w:pos="993"/>
        </w:tabs>
        <w:autoSpaceDE w:val="0"/>
        <w:autoSpaceDN w:val="0"/>
        <w:adjustRightInd w:val="0"/>
        <w:ind w:left="990" w:hanging="990"/>
        <w:jc w:val="both"/>
        <w:rPr>
          <w:rFonts w:ascii="Arial" w:hAnsi="Arial" w:cs="Arial"/>
          <w:b/>
          <w:sz w:val="20"/>
          <w:szCs w:val="20"/>
        </w:rPr>
      </w:pPr>
    </w:p>
    <w:p w14:paraId="25F2BA8A" w14:textId="77777777" w:rsidR="00D57427" w:rsidRPr="00DE4065" w:rsidRDefault="00D57427" w:rsidP="00B30B93">
      <w:pPr>
        <w:autoSpaceDE w:val="0"/>
        <w:autoSpaceDN w:val="0"/>
        <w:adjustRightInd w:val="0"/>
        <w:ind w:left="709" w:hanging="709"/>
        <w:jc w:val="both"/>
        <w:rPr>
          <w:rFonts w:ascii="Arial" w:hAnsi="Arial" w:cs="Arial"/>
          <w:b/>
          <w:sz w:val="20"/>
          <w:szCs w:val="20"/>
        </w:rPr>
      </w:pPr>
    </w:p>
    <w:p w14:paraId="6BEB1267" w14:textId="03864E9F" w:rsidR="006C0814" w:rsidRPr="00DE4065" w:rsidRDefault="00071CF9" w:rsidP="00B30B93">
      <w:pPr>
        <w:autoSpaceDE w:val="0"/>
        <w:autoSpaceDN w:val="0"/>
        <w:adjustRightInd w:val="0"/>
        <w:ind w:left="709" w:hanging="709"/>
        <w:jc w:val="both"/>
        <w:rPr>
          <w:rFonts w:ascii="Arial" w:hAnsi="Arial" w:cs="Arial"/>
          <w:b/>
          <w:sz w:val="20"/>
          <w:szCs w:val="20"/>
        </w:rPr>
      </w:pPr>
      <w:r w:rsidRPr="00DE4065">
        <w:rPr>
          <w:rFonts w:ascii="Arial" w:hAnsi="Arial" w:cs="Arial"/>
          <w:b/>
          <w:sz w:val="20"/>
          <w:szCs w:val="20"/>
        </w:rPr>
        <w:t>1</w:t>
      </w:r>
      <w:r w:rsidR="008A4091">
        <w:rPr>
          <w:rFonts w:ascii="Arial" w:hAnsi="Arial" w:cs="Arial"/>
          <w:b/>
          <w:sz w:val="20"/>
          <w:szCs w:val="20"/>
        </w:rPr>
        <w:t>2</w:t>
      </w:r>
      <w:r w:rsidR="00F05F30" w:rsidRPr="00DE4065">
        <w:rPr>
          <w:rFonts w:ascii="Arial" w:hAnsi="Arial" w:cs="Arial"/>
          <w:b/>
          <w:sz w:val="20"/>
          <w:szCs w:val="20"/>
        </w:rPr>
        <w:t>.0</w:t>
      </w:r>
      <w:r w:rsidR="006C0814" w:rsidRPr="00DE4065">
        <w:rPr>
          <w:rFonts w:ascii="Arial" w:hAnsi="Arial" w:cs="Arial"/>
          <w:b/>
          <w:sz w:val="20"/>
          <w:szCs w:val="20"/>
        </w:rPr>
        <w:tab/>
        <w:t>CONSULTATIONS</w:t>
      </w:r>
    </w:p>
    <w:p w14:paraId="342DEFB1" w14:textId="77777777" w:rsidR="006C0814" w:rsidRPr="00DE4065" w:rsidRDefault="006C0814" w:rsidP="00B30B93">
      <w:pPr>
        <w:autoSpaceDE w:val="0"/>
        <w:autoSpaceDN w:val="0"/>
        <w:adjustRightInd w:val="0"/>
        <w:ind w:left="709" w:hanging="709"/>
        <w:jc w:val="both"/>
        <w:rPr>
          <w:rFonts w:ascii="Arial" w:hAnsi="Arial" w:cs="Arial"/>
          <w:b/>
          <w:sz w:val="20"/>
          <w:szCs w:val="20"/>
        </w:rPr>
      </w:pPr>
    </w:p>
    <w:p w14:paraId="61513BAE" w14:textId="7F323890" w:rsidR="000657F8" w:rsidRPr="00DE4065" w:rsidRDefault="004F3D5A" w:rsidP="00B30B93">
      <w:pPr>
        <w:ind w:left="709" w:hanging="709"/>
        <w:jc w:val="both"/>
        <w:rPr>
          <w:rFonts w:ascii="Arial" w:hAnsi="Arial" w:cs="Arial"/>
          <w:sz w:val="20"/>
          <w:szCs w:val="20"/>
        </w:rPr>
      </w:pPr>
      <w:r w:rsidRPr="00DE4065">
        <w:rPr>
          <w:rFonts w:ascii="Arial" w:hAnsi="Arial" w:cs="Arial"/>
          <w:sz w:val="20"/>
          <w:szCs w:val="20"/>
        </w:rPr>
        <w:t>1</w:t>
      </w:r>
      <w:r w:rsidR="008A4091">
        <w:rPr>
          <w:rFonts w:ascii="Arial" w:hAnsi="Arial" w:cs="Arial"/>
          <w:sz w:val="20"/>
          <w:szCs w:val="20"/>
        </w:rPr>
        <w:t>2</w:t>
      </w:r>
      <w:r w:rsidR="00F05F30" w:rsidRPr="00DE4065">
        <w:rPr>
          <w:rFonts w:ascii="Arial" w:hAnsi="Arial" w:cs="Arial"/>
          <w:sz w:val="20"/>
          <w:szCs w:val="20"/>
        </w:rPr>
        <w:t>.1</w:t>
      </w:r>
      <w:r w:rsidRPr="00DE4065">
        <w:rPr>
          <w:rFonts w:ascii="Arial" w:hAnsi="Arial" w:cs="Arial"/>
          <w:sz w:val="20"/>
          <w:szCs w:val="20"/>
        </w:rPr>
        <w:tab/>
      </w:r>
      <w:r w:rsidR="00CF69AA" w:rsidRPr="00DE4065">
        <w:rPr>
          <w:rFonts w:ascii="Arial" w:hAnsi="Arial" w:cs="Arial"/>
          <w:sz w:val="20"/>
          <w:szCs w:val="20"/>
        </w:rPr>
        <w:t xml:space="preserve">The Chief </w:t>
      </w:r>
      <w:r w:rsidR="004654D5" w:rsidRPr="00DE4065">
        <w:rPr>
          <w:rFonts w:ascii="Arial" w:hAnsi="Arial" w:cs="Arial"/>
          <w:sz w:val="20"/>
          <w:szCs w:val="20"/>
        </w:rPr>
        <w:t xml:space="preserve">Officer, Head of Health and Community Care </w:t>
      </w:r>
      <w:r w:rsidR="00CF69AA" w:rsidRPr="00DE4065">
        <w:rPr>
          <w:rFonts w:ascii="Arial" w:hAnsi="Arial" w:cs="Arial"/>
          <w:sz w:val="20"/>
          <w:szCs w:val="20"/>
        </w:rPr>
        <w:t>and the Clerk were consulted in the preparation of this report.</w:t>
      </w:r>
    </w:p>
    <w:p w14:paraId="046B6F03" w14:textId="77777777" w:rsidR="00A46AD2" w:rsidRPr="00DE4065" w:rsidRDefault="00A46AD2" w:rsidP="00B30B93">
      <w:pPr>
        <w:ind w:left="709" w:hanging="709"/>
        <w:jc w:val="both"/>
        <w:rPr>
          <w:rFonts w:ascii="Arial" w:hAnsi="Arial" w:cs="Arial"/>
          <w:sz w:val="20"/>
          <w:szCs w:val="20"/>
        </w:rPr>
      </w:pPr>
    </w:p>
    <w:p w14:paraId="288E6FAD" w14:textId="77777777" w:rsidR="00A46AD2" w:rsidRPr="00DE4065" w:rsidRDefault="00A46AD2" w:rsidP="00B30B93">
      <w:pPr>
        <w:ind w:left="709" w:hanging="709"/>
        <w:jc w:val="both"/>
        <w:rPr>
          <w:rFonts w:ascii="Arial" w:hAnsi="Arial" w:cs="Arial"/>
          <w:sz w:val="20"/>
          <w:szCs w:val="20"/>
        </w:rPr>
      </w:pPr>
    </w:p>
    <w:p w14:paraId="7B5F126A" w14:textId="5487DD97" w:rsidR="00666CA4" w:rsidRPr="00DE4065" w:rsidRDefault="00A46AD2" w:rsidP="00B30B93">
      <w:pPr>
        <w:ind w:left="709" w:hanging="709"/>
        <w:jc w:val="both"/>
        <w:rPr>
          <w:rFonts w:ascii="Arial" w:hAnsi="Arial" w:cs="Arial"/>
          <w:b/>
          <w:bCs/>
          <w:sz w:val="20"/>
          <w:szCs w:val="20"/>
        </w:rPr>
      </w:pPr>
      <w:r w:rsidRPr="00DE4065">
        <w:rPr>
          <w:rFonts w:ascii="Arial" w:hAnsi="Arial" w:cs="Arial"/>
          <w:b/>
          <w:bCs/>
          <w:sz w:val="20"/>
          <w:szCs w:val="20"/>
        </w:rPr>
        <w:t>1</w:t>
      </w:r>
      <w:r w:rsidR="008A4091">
        <w:rPr>
          <w:rFonts w:ascii="Arial" w:hAnsi="Arial" w:cs="Arial"/>
          <w:b/>
          <w:bCs/>
          <w:sz w:val="20"/>
          <w:szCs w:val="20"/>
        </w:rPr>
        <w:t>3</w:t>
      </w:r>
      <w:r w:rsidR="00F05F30" w:rsidRPr="00DE4065">
        <w:rPr>
          <w:rFonts w:ascii="Arial" w:hAnsi="Arial" w:cs="Arial"/>
          <w:b/>
          <w:bCs/>
          <w:sz w:val="20"/>
          <w:szCs w:val="20"/>
        </w:rPr>
        <w:t>.0</w:t>
      </w:r>
      <w:r w:rsidR="0007455B" w:rsidRPr="00DE4065">
        <w:rPr>
          <w:rFonts w:ascii="Arial" w:hAnsi="Arial" w:cs="Arial"/>
          <w:b/>
          <w:bCs/>
          <w:sz w:val="20"/>
          <w:szCs w:val="20"/>
        </w:rPr>
        <w:tab/>
      </w:r>
      <w:r w:rsidR="00B75833" w:rsidRPr="00DE4065">
        <w:rPr>
          <w:rFonts w:ascii="Arial" w:hAnsi="Arial" w:cs="Arial"/>
          <w:b/>
          <w:bCs/>
          <w:sz w:val="20"/>
          <w:szCs w:val="20"/>
        </w:rPr>
        <w:t>BACKGROUND PAPE</w:t>
      </w:r>
      <w:r w:rsidR="00666CA4" w:rsidRPr="00DE4065">
        <w:rPr>
          <w:rFonts w:ascii="Arial" w:hAnsi="Arial" w:cs="Arial"/>
          <w:b/>
          <w:bCs/>
          <w:sz w:val="20"/>
          <w:szCs w:val="20"/>
        </w:rPr>
        <w:t>R</w:t>
      </w:r>
      <w:r w:rsidR="006F4BA0" w:rsidRPr="00DE4065">
        <w:rPr>
          <w:rFonts w:ascii="Arial" w:hAnsi="Arial" w:cs="Arial"/>
          <w:b/>
          <w:bCs/>
          <w:sz w:val="20"/>
          <w:szCs w:val="20"/>
        </w:rPr>
        <w:t>S</w:t>
      </w:r>
    </w:p>
    <w:p w14:paraId="09527328" w14:textId="77777777" w:rsidR="00B75833" w:rsidRPr="00DE4065" w:rsidRDefault="00B75833" w:rsidP="00B30B93">
      <w:pPr>
        <w:ind w:left="709" w:hanging="709"/>
        <w:jc w:val="both"/>
        <w:rPr>
          <w:rFonts w:ascii="Arial" w:hAnsi="Arial" w:cs="Arial"/>
          <w:bCs/>
          <w:sz w:val="20"/>
          <w:szCs w:val="20"/>
        </w:rPr>
      </w:pPr>
    </w:p>
    <w:p w14:paraId="3B1888BE" w14:textId="4C8063E0" w:rsidR="00B75833" w:rsidRPr="00DE4065" w:rsidRDefault="004F3D5A" w:rsidP="00B30B93">
      <w:pPr>
        <w:ind w:left="709" w:hanging="709"/>
        <w:jc w:val="both"/>
        <w:rPr>
          <w:rFonts w:ascii="Arial" w:hAnsi="Arial" w:cs="Arial"/>
          <w:bCs/>
          <w:sz w:val="20"/>
          <w:szCs w:val="20"/>
        </w:rPr>
      </w:pPr>
      <w:r w:rsidRPr="00DE4065">
        <w:rPr>
          <w:rFonts w:ascii="Arial" w:hAnsi="Arial" w:cs="Arial"/>
          <w:bCs/>
          <w:sz w:val="20"/>
          <w:szCs w:val="20"/>
        </w:rPr>
        <w:t>1</w:t>
      </w:r>
      <w:r w:rsidR="008A4091">
        <w:rPr>
          <w:rFonts w:ascii="Arial" w:hAnsi="Arial" w:cs="Arial"/>
          <w:bCs/>
          <w:sz w:val="20"/>
          <w:szCs w:val="20"/>
        </w:rPr>
        <w:t>3</w:t>
      </w:r>
      <w:r w:rsidR="00F05F30" w:rsidRPr="00DE4065">
        <w:rPr>
          <w:rFonts w:ascii="Arial" w:hAnsi="Arial" w:cs="Arial"/>
          <w:bCs/>
          <w:sz w:val="20"/>
          <w:szCs w:val="20"/>
        </w:rPr>
        <w:t>.1</w:t>
      </w:r>
      <w:r w:rsidRPr="00DE4065">
        <w:rPr>
          <w:rFonts w:ascii="Arial" w:hAnsi="Arial" w:cs="Arial"/>
          <w:bCs/>
          <w:sz w:val="20"/>
          <w:szCs w:val="20"/>
        </w:rPr>
        <w:tab/>
      </w:r>
      <w:r w:rsidR="0007455B" w:rsidRPr="00DE4065">
        <w:rPr>
          <w:rFonts w:ascii="Arial" w:hAnsi="Arial" w:cs="Arial"/>
          <w:bCs/>
          <w:sz w:val="20"/>
          <w:szCs w:val="20"/>
        </w:rPr>
        <w:t>None.</w:t>
      </w:r>
    </w:p>
    <w:p w14:paraId="3742B83E" w14:textId="77777777" w:rsidR="00E1548C" w:rsidRPr="00DE4065" w:rsidRDefault="00E1548C" w:rsidP="00CA50AA">
      <w:pPr>
        <w:jc w:val="both"/>
        <w:rPr>
          <w:rFonts w:ascii="Arial" w:hAnsi="Arial" w:cs="Arial"/>
          <w:bCs/>
          <w:sz w:val="20"/>
          <w:szCs w:val="20"/>
        </w:rPr>
      </w:pPr>
    </w:p>
    <w:p w14:paraId="15A2E67C" w14:textId="77777777" w:rsidR="00AA439B" w:rsidRPr="00DE4065" w:rsidRDefault="00AA439B" w:rsidP="00CA50AA">
      <w:pPr>
        <w:jc w:val="both"/>
        <w:rPr>
          <w:rFonts w:ascii="Arial" w:hAnsi="Arial" w:cs="Arial"/>
          <w:bCs/>
          <w:sz w:val="20"/>
          <w:szCs w:val="20"/>
        </w:rPr>
      </w:pPr>
    </w:p>
    <w:p w14:paraId="2570F339" w14:textId="77777777" w:rsidR="00AA439B" w:rsidRPr="00DE4065" w:rsidRDefault="00AA439B" w:rsidP="00CA50AA">
      <w:pPr>
        <w:jc w:val="both"/>
        <w:rPr>
          <w:rFonts w:ascii="Arial" w:hAnsi="Arial" w:cs="Arial"/>
          <w:bCs/>
          <w:sz w:val="20"/>
          <w:szCs w:val="20"/>
        </w:rPr>
      </w:pPr>
    </w:p>
    <w:p w14:paraId="792F92D1" w14:textId="77777777" w:rsidR="00AA439B" w:rsidRPr="00DE4065" w:rsidRDefault="00AA439B" w:rsidP="00CA50AA">
      <w:pPr>
        <w:jc w:val="both"/>
        <w:rPr>
          <w:rFonts w:ascii="Arial" w:hAnsi="Arial" w:cs="Arial"/>
          <w:bCs/>
          <w:sz w:val="20"/>
          <w:szCs w:val="20"/>
        </w:rPr>
      </w:pPr>
    </w:p>
    <w:p w14:paraId="31205636" w14:textId="77777777" w:rsidR="00AA439B" w:rsidRPr="00DE4065" w:rsidRDefault="00AA439B" w:rsidP="00CA50AA">
      <w:pPr>
        <w:jc w:val="both"/>
        <w:rPr>
          <w:rFonts w:ascii="Arial" w:hAnsi="Arial" w:cs="Arial"/>
          <w:bCs/>
          <w:sz w:val="20"/>
          <w:szCs w:val="20"/>
        </w:rPr>
      </w:pPr>
    </w:p>
    <w:tbl>
      <w:tblPr>
        <w:tblW w:w="0" w:type="auto"/>
        <w:tblLayout w:type="fixed"/>
        <w:tblLook w:val="0000" w:firstRow="0" w:lastRow="0" w:firstColumn="0" w:lastColumn="0" w:noHBand="0" w:noVBand="0"/>
      </w:tblPr>
      <w:tblGrid>
        <w:gridCol w:w="6633"/>
        <w:gridCol w:w="2654"/>
      </w:tblGrid>
      <w:tr w:rsidR="00945F5F" w:rsidRPr="00DE4065" w14:paraId="0A1AFF43" w14:textId="77777777">
        <w:trPr>
          <w:cantSplit/>
        </w:trPr>
        <w:tc>
          <w:tcPr>
            <w:tcW w:w="6633" w:type="dxa"/>
          </w:tcPr>
          <w:p w14:paraId="409819E1" w14:textId="1DD6E1CE" w:rsidR="00B30B93" w:rsidRPr="00DE4065" w:rsidRDefault="00794C61" w:rsidP="00B30B93">
            <w:pPr>
              <w:tabs>
                <w:tab w:val="left" w:pos="993"/>
              </w:tabs>
              <w:jc w:val="both"/>
              <w:rPr>
                <w:rFonts w:ascii="Arial" w:hAnsi="Arial" w:cs="Arial"/>
                <w:bCs/>
                <w:sz w:val="20"/>
                <w:szCs w:val="20"/>
              </w:rPr>
            </w:pPr>
            <w:r w:rsidRPr="00DE4065">
              <w:rPr>
                <w:rFonts w:ascii="Arial" w:hAnsi="Arial" w:cs="Arial"/>
                <w:bCs/>
                <w:sz w:val="20"/>
                <w:szCs w:val="20"/>
              </w:rPr>
              <w:t>Christine Jones</w:t>
            </w:r>
          </w:p>
          <w:p w14:paraId="2625926C" w14:textId="1A116C70" w:rsidR="00071CF9" w:rsidRPr="00DE4065" w:rsidRDefault="00794C61" w:rsidP="00B30B93">
            <w:pPr>
              <w:tabs>
                <w:tab w:val="left" w:pos="993"/>
              </w:tabs>
              <w:jc w:val="both"/>
              <w:rPr>
                <w:rFonts w:ascii="Arial" w:hAnsi="Arial" w:cs="Arial"/>
                <w:bCs/>
                <w:sz w:val="20"/>
                <w:szCs w:val="20"/>
              </w:rPr>
            </w:pPr>
            <w:r w:rsidRPr="00DE4065">
              <w:rPr>
                <w:rFonts w:ascii="Arial" w:hAnsi="Arial" w:cs="Arial"/>
                <w:bCs/>
                <w:sz w:val="20"/>
                <w:szCs w:val="20"/>
              </w:rPr>
              <w:t xml:space="preserve">Acting </w:t>
            </w:r>
            <w:r w:rsidR="00071CF9" w:rsidRPr="00DE4065">
              <w:rPr>
                <w:rFonts w:ascii="Arial" w:hAnsi="Arial" w:cs="Arial"/>
                <w:bCs/>
                <w:sz w:val="20"/>
                <w:szCs w:val="20"/>
              </w:rPr>
              <w:t>Chief Finance Officer</w:t>
            </w:r>
          </w:p>
          <w:p w14:paraId="0A6F103B" w14:textId="77777777" w:rsidR="00B30B93" w:rsidRPr="00DE4065" w:rsidRDefault="00B30B93" w:rsidP="00843F08">
            <w:pPr>
              <w:pStyle w:val="Header"/>
              <w:jc w:val="both"/>
              <w:rPr>
                <w:rFonts w:ascii="Arial" w:hAnsi="Arial" w:cs="Arial"/>
                <w:bCs/>
                <w:sz w:val="20"/>
                <w:szCs w:val="20"/>
              </w:rPr>
            </w:pPr>
          </w:p>
          <w:p w14:paraId="43D8D5F2" w14:textId="77777777" w:rsidR="0007455B" w:rsidRPr="00DE4065" w:rsidRDefault="008119D0" w:rsidP="00843F08">
            <w:pPr>
              <w:pStyle w:val="Header"/>
              <w:jc w:val="both"/>
              <w:rPr>
                <w:rFonts w:ascii="Arial" w:hAnsi="Arial" w:cs="Arial"/>
                <w:bCs/>
                <w:sz w:val="20"/>
                <w:szCs w:val="20"/>
              </w:rPr>
            </w:pPr>
            <w:r w:rsidRPr="00DE4065">
              <w:rPr>
                <w:rFonts w:ascii="Arial" w:hAnsi="Arial" w:cs="Arial"/>
                <w:bCs/>
                <w:sz w:val="20"/>
                <w:szCs w:val="20"/>
              </w:rPr>
              <w:t>Lynne Morman</w:t>
            </w:r>
          </w:p>
          <w:p w14:paraId="0DAF8E31" w14:textId="0964547E" w:rsidR="00071CF9" w:rsidRPr="00DE4065" w:rsidRDefault="00103ADF" w:rsidP="00843F08">
            <w:pPr>
              <w:pStyle w:val="Header"/>
              <w:jc w:val="both"/>
              <w:rPr>
                <w:rFonts w:ascii="Arial" w:hAnsi="Arial" w:cs="Arial"/>
                <w:bCs/>
                <w:sz w:val="20"/>
                <w:szCs w:val="20"/>
              </w:rPr>
            </w:pPr>
            <w:r w:rsidRPr="00DE4065">
              <w:rPr>
                <w:rFonts w:ascii="Arial" w:hAnsi="Arial" w:cs="Arial"/>
                <w:sz w:val="20"/>
                <w:szCs w:val="20"/>
              </w:rPr>
              <w:t>Associate Locality Manager, Acute and Urgent Care</w:t>
            </w:r>
            <w:r w:rsidRPr="00DE4065">
              <w:rPr>
                <w:rFonts w:ascii="Arial" w:hAnsi="Arial" w:cs="Arial"/>
                <w:bCs/>
                <w:sz w:val="20"/>
                <w:szCs w:val="20"/>
              </w:rPr>
              <w:t xml:space="preserve"> </w:t>
            </w:r>
          </w:p>
          <w:p w14:paraId="7A28718E" w14:textId="77777777" w:rsidR="00103ADF" w:rsidRPr="00DE4065" w:rsidRDefault="00103ADF" w:rsidP="00843F08">
            <w:pPr>
              <w:pStyle w:val="Header"/>
              <w:jc w:val="both"/>
              <w:rPr>
                <w:rFonts w:ascii="Arial" w:hAnsi="Arial" w:cs="Arial"/>
                <w:bCs/>
                <w:sz w:val="20"/>
                <w:szCs w:val="20"/>
              </w:rPr>
            </w:pPr>
          </w:p>
          <w:p w14:paraId="22EEA33A" w14:textId="77777777" w:rsidR="00071CF9" w:rsidRPr="00DE4065" w:rsidRDefault="00071CF9" w:rsidP="00843F08">
            <w:pPr>
              <w:pStyle w:val="Header"/>
              <w:jc w:val="both"/>
              <w:rPr>
                <w:rFonts w:ascii="Arial" w:hAnsi="Arial" w:cs="Arial"/>
                <w:bCs/>
                <w:sz w:val="20"/>
                <w:szCs w:val="20"/>
              </w:rPr>
            </w:pPr>
            <w:r w:rsidRPr="00DE4065">
              <w:rPr>
                <w:rFonts w:ascii="Arial" w:hAnsi="Arial" w:cs="Arial"/>
                <w:bCs/>
                <w:sz w:val="20"/>
                <w:szCs w:val="20"/>
              </w:rPr>
              <w:t>Lynsey Webster</w:t>
            </w:r>
          </w:p>
          <w:p w14:paraId="5FB2CFEE" w14:textId="77777777" w:rsidR="00071CF9" w:rsidRDefault="00794C61" w:rsidP="00843F08">
            <w:pPr>
              <w:pStyle w:val="Header"/>
              <w:jc w:val="both"/>
              <w:rPr>
                <w:rFonts w:ascii="Arial" w:hAnsi="Arial" w:cs="Arial"/>
                <w:bCs/>
                <w:sz w:val="20"/>
                <w:szCs w:val="20"/>
              </w:rPr>
            </w:pPr>
            <w:r w:rsidRPr="00DE4065">
              <w:rPr>
                <w:rFonts w:ascii="Arial" w:hAnsi="Arial" w:cs="Arial"/>
                <w:bCs/>
                <w:sz w:val="20"/>
                <w:szCs w:val="20"/>
              </w:rPr>
              <w:t>Lead Officer, Quality Data and Intelligence</w:t>
            </w:r>
          </w:p>
          <w:p w14:paraId="470C27B3" w14:textId="77777777" w:rsidR="00DE4065" w:rsidRDefault="00DE4065" w:rsidP="00843F08">
            <w:pPr>
              <w:pStyle w:val="Header"/>
              <w:jc w:val="both"/>
              <w:rPr>
                <w:rFonts w:ascii="Arial" w:hAnsi="Arial" w:cs="Arial"/>
                <w:bCs/>
                <w:sz w:val="20"/>
                <w:szCs w:val="20"/>
              </w:rPr>
            </w:pPr>
          </w:p>
          <w:p w14:paraId="73342D3F" w14:textId="77777777" w:rsidR="00DE4065" w:rsidRDefault="00DE4065" w:rsidP="00843F08">
            <w:pPr>
              <w:pStyle w:val="Header"/>
              <w:jc w:val="both"/>
              <w:rPr>
                <w:rFonts w:ascii="Arial" w:hAnsi="Arial" w:cs="Arial"/>
                <w:bCs/>
                <w:sz w:val="20"/>
                <w:szCs w:val="20"/>
              </w:rPr>
            </w:pPr>
            <w:r>
              <w:rPr>
                <w:rFonts w:ascii="Arial" w:hAnsi="Arial" w:cs="Arial"/>
                <w:bCs/>
                <w:sz w:val="20"/>
                <w:szCs w:val="20"/>
              </w:rPr>
              <w:t>Joanna Henderson</w:t>
            </w:r>
          </w:p>
          <w:p w14:paraId="37F8AF1A" w14:textId="61459A7B" w:rsidR="00DE4065" w:rsidRPr="00DE4065" w:rsidRDefault="00DE4065" w:rsidP="00843F08">
            <w:pPr>
              <w:pStyle w:val="Header"/>
              <w:jc w:val="both"/>
              <w:rPr>
                <w:rFonts w:ascii="Arial" w:hAnsi="Arial" w:cs="Arial"/>
                <w:bCs/>
                <w:sz w:val="20"/>
                <w:szCs w:val="20"/>
              </w:rPr>
            </w:pPr>
            <w:r>
              <w:rPr>
                <w:rFonts w:ascii="Arial" w:hAnsi="Arial" w:cs="Arial"/>
                <w:bCs/>
                <w:sz w:val="20"/>
                <w:szCs w:val="20"/>
              </w:rPr>
              <w:t>Project Manager, Acute and Urgent Care</w:t>
            </w:r>
          </w:p>
        </w:tc>
        <w:tc>
          <w:tcPr>
            <w:tcW w:w="2654" w:type="dxa"/>
          </w:tcPr>
          <w:p w14:paraId="5A6259C7" w14:textId="047256C7" w:rsidR="0007455B" w:rsidRPr="00DE4065" w:rsidRDefault="00221EE1" w:rsidP="00B663B5">
            <w:pPr>
              <w:jc w:val="both"/>
              <w:rPr>
                <w:rFonts w:ascii="Arial" w:hAnsi="Arial" w:cs="Arial"/>
                <w:bCs/>
                <w:sz w:val="20"/>
                <w:szCs w:val="20"/>
              </w:rPr>
            </w:pPr>
            <w:r w:rsidRPr="00DE4065">
              <w:rPr>
                <w:rFonts w:ascii="Arial" w:hAnsi="Arial" w:cs="Arial"/>
                <w:bCs/>
                <w:sz w:val="20"/>
                <w:szCs w:val="20"/>
              </w:rPr>
              <w:t xml:space="preserve">DATE: </w:t>
            </w:r>
            <w:r w:rsidR="00D370D9">
              <w:rPr>
                <w:rFonts w:ascii="Arial" w:hAnsi="Arial" w:cs="Arial"/>
                <w:bCs/>
                <w:sz w:val="20"/>
                <w:szCs w:val="20"/>
              </w:rPr>
              <w:t xml:space="preserve">17 December </w:t>
            </w:r>
            <w:r w:rsidR="00103ADF" w:rsidRPr="00DE4065">
              <w:rPr>
                <w:rFonts w:ascii="Arial" w:hAnsi="Arial" w:cs="Arial"/>
                <w:bCs/>
                <w:sz w:val="20"/>
                <w:szCs w:val="20"/>
              </w:rPr>
              <w:t>202</w:t>
            </w:r>
            <w:r w:rsidR="00794C61" w:rsidRPr="00DE4065">
              <w:rPr>
                <w:rFonts w:ascii="Arial" w:hAnsi="Arial" w:cs="Arial"/>
                <w:bCs/>
                <w:sz w:val="20"/>
                <w:szCs w:val="20"/>
              </w:rPr>
              <w:t>4</w:t>
            </w:r>
          </w:p>
        </w:tc>
      </w:tr>
    </w:tbl>
    <w:p w14:paraId="48BF6A42" w14:textId="73E42CE8" w:rsidR="00DB06F8" w:rsidRPr="00DE4065" w:rsidRDefault="00DB06F8" w:rsidP="00AA439B">
      <w:pPr>
        <w:rPr>
          <w:rFonts w:ascii="Arial" w:hAnsi="Arial" w:cs="Arial"/>
          <w:sz w:val="20"/>
          <w:szCs w:val="20"/>
        </w:rPr>
      </w:pPr>
    </w:p>
    <w:p w14:paraId="139BC668" w14:textId="5A173CA7" w:rsidR="00655717" w:rsidRPr="00DE4065" w:rsidRDefault="00655717" w:rsidP="00AA439B">
      <w:pPr>
        <w:rPr>
          <w:rFonts w:ascii="Arial" w:hAnsi="Arial" w:cs="Arial"/>
          <w:sz w:val="20"/>
          <w:szCs w:val="20"/>
        </w:rPr>
      </w:pPr>
    </w:p>
    <w:p w14:paraId="487EA756" w14:textId="3DE671D3" w:rsidR="00655717" w:rsidRPr="00DE4065" w:rsidRDefault="00655717" w:rsidP="00AA439B">
      <w:pPr>
        <w:rPr>
          <w:rFonts w:ascii="Arial" w:hAnsi="Arial" w:cs="Arial"/>
          <w:sz w:val="20"/>
          <w:szCs w:val="20"/>
        </w:rPr>
      </w:pPr>
    </w:p>
    <w:p w14:paraId="7F0D665E" w14:textId="6925279B" w:rsidR="00655717" w:rsidRPr="00DE4065" w:rsidRDefault="00655717" w:rsidP="00AA439B">
      <w:pPr>
        <w:rPr>
          <w:rFonts w:ascii="Arial" w:hAnsi="Arial" w:cs="Arial"/>
          <w:sz w:val="20"/>
          <w:szCs w:val="20"/>
        </w:rPr>
      </w:pPr>
    </w:p>
    <w:sectPr w:rsidR="00655717" w:rsidRPr="00DE4065" w:rsidSect="000657F8">
      <w:headerReference w:type="even" r:id="rId19"/>
      <w:headerReference w:type="default" r:id="rId20"/>
      <w:footerReference w:type="default" r:id="rId21"/>
      <w:headerReference w:type="first" r:id="rId22"/>
      <w:pgSz w:w="11907" w:h="16840" w:code="9"/>
      <w:pgMar w:top="720" w:right="1418" w:bottom="720" w:left="1418" w:header="720" w:footer="340" w:gutter="0"/>
      <w:paperSrc w:first="259" w:other="259"/>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0FBA" w14:textId="77777777" w:rsidR="00802F61" w:rsidRDefault="00802F61">
      <w:r>
        <w:separator/>
      </w:r>
    </w:p>
  </w:endnote>
  <w:endnote w:type="continuationSeparator" w:id="0">
    <w:p w14:paraId="2935F5B3" w14:textId="77777777" w:rsidR="00802F61" w:rsidRDefault="00802F61">
      <w:r>
        <w:continuationSeparator/>
      </w:r>
    </w:p>
  </w:endnote>
  <w:endnote w:type="continuationNotice" w:id="1">
    <w:p w14:paraId="56A0635D" w14:textId="77777777" w:rsidR="00802F61" w:rsidRDefault="00802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DF5F" w14:textId="77777777" w:rsidR="00551730" w:rsidRDefault="00551730" w:rsidP="00701E35">
    <w:pPr>
      <w:pStyle w:val="Footer"/>
      <w:jc w:val="center"/>
    </w:pPr>
    <w:r>
      <w:fldChar w:fldCharType="begin"/>
    </w:r>
    <w:r>
      <w:instrText xml:space="preserve"> PAGE   \* MERGEFORMAT </w:instrText>
    </w:r>
    <w:r>
      <w:fldChar w:fldCharType="separate"/>
    </w:r>
    <w:r>
      <w:rPr>
        <w:noProof/>
      </w:rPr>
      <w:t>6</w:t>
    </w:r>
    <w:r>
      <w:rPr>
        <w:noProof/>
      </w:rPr>
      <w:fldChar w:fldCharType="end"/>
    </w:r>
  </w:p>
  <w:p w14:paraId="1DAF20C5" w14:textId="77777777" w:rsidR="00551730" w:rsidRDefault="00551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C8C76" w14:textId="77777777" w:rsidR="00802F61" w:rsidRDefault="00802F61">
      <w:r>
        <w:separator/>
      </w:r>
    </w:p>
  </w:footnote>
  <w:footnote w:type="continuationSeparator" w:id="0">
    <w:p w14:paraId="195CF896" w14:textId="77777777" w:rsidR="00802F61" w:rsidRDefault="00802F61">
      <w:r>
        <w:continuationSeparator/>
      </w:r>
    </w:p>
  </w:footnote>
  <w:footnote w:type="continuationNotice" w:id="1">
    <w:p w14:paraId="451728C2" w14:textId="77777777" w:rsidR="00802F61" w:rsidRDefault="00802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0C270" w14:textId="77777777" w:rsidR="00551730" w:rsidRDefault="005517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8035C7" w14:textId="77777777" w:rsidR="00551730" w:rsidRDefault="0055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0305" w14:textId="77777777" w:rsidR="00551730" w:rsidRDefault="00551730">
    <w:pPr>
      <w:pStyle w:val="Header"/>
      <w:tabs>
        <w:tab w:val="clear" w:pos="4153"/>
        <w:tab w:val="clear" w:pos="8306"/>
      </w:tabs>
    </w:pPr>
  </w:p>
  <w:p w14:paraId="28B1D692" w14:textId="77777777" w:rsidR="00551730" w:rsidRDefault="00551730">
    <w:pPr>
      <w:pStyle w:val="Header"/>
      <w:tabs>
        <w:tab w:val="clear" w:pos="4153"/>
        <w:tab w:val="clear" w:pos="8306"/>
      </w:tabs>
    </w:pPr>
  </w:p>
  <w:p w14:paraId="49816D57" w14:textId="77777777" w:rsidR="00551730" w:rsidRDefault="00551730">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D9B7" w14:textId="77777777" w:rsidR="00551730" w:rsidRDefault="00551730">
    <w:pPr>
      <w:pStyle w:val="Header"/>
      <w:tabs>
        <w:tab w:val="clear" w:pos="4153"/>
        <w:tab w:val="clear" w:pos="8306"/>
      </w:tabs>
    </w:pPr>
  </w:p>
  <w:p w14:paraId="1A180E6F" w14:textId="77777777" w:rsidR="00551730" w:rsidRDefault="00551730">
    <w:pPr>
      <w:pStyle w:val="Header"/>
      <w:tabs>
        <w:tab w:val="clear" w:pos="4153"/>
        <w:tab w:val="clear" w:pos="8306"/>
      </w:tabs>
    </w:pPr>
  </w:p>
  <w:p w14:paraId="27EE80B5" w14:textId="77777777" w:rsidR="00551730" w:rsidRDefault="00551730">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EBC"/>
    <w:multiLevelType w:val="hybridMultilevel"/>
    <w:tmpl w:val="B24A3B14"/>
    <w:lvl w:ilvl="0" w:tplc="FF60A88E">
      <w:start w:val="1"/>
      <w:numFmt w:val="bullet"/>
      <w:lvlText w:val="•"/>
      <w:lvlJc w:val="left"/>
      <w:pPr>
        <w:tabs>
          <w:tab w:val="num" w:pos="720"/>
        </w:tabs>
        <w:ind w:left="720" w:hanging="360"/>
      </w:pPr>
      <w:rPr>
        <w:rFonts w:ascii="Arial" w:hAnsi="Arial" w:hint="default"/>
      </w:rPr>
    </w:lvl>
    <w:lvl w:ilvl="1" w:tplc="C31E102E" w:tentative="1">
      <w:start w:val="1"/>
      <w:numFmt w:val="bullet"/>
      <w:lvlText w:val="•"/>
      <w:lvlJc w:val="left"/>
      <w:pPr>
        <w:tabs>
          <w:tab w:val="num" w:pos="1440"/>
        </w:tabs>
        <w:ind w:left="1440" w:hanging="360"/>
      </w:pPr>
      <w:rPr>
        <w:rFonts w:ascii="Arial" w:hAnsi="Arial" w:hint="default"/>
      </w:rPr>
    </w:lvl>
    <w:lvl w:ilvl="2" w:tplc="1BC6D90C" w:tentative="1">
      <w:start w:val="1"/>
      <w:numFmt w:val="bullet"/>
      <w:lvlText w:val="•"/>
      <w:lvlJc w:val="left"/>
      <w:pPr>
        <w:tabs>
          <w:tab w:val="num" w:pos="2160"/>
        </w:tabs>
        <w:ind w:left="2160" w:hanging="360"/>
      </w:pPr>
      <w:rPr>
        <w:rFonts w:ascii="Arial" w:hAnsi="Arial" w:hint="default"/>
      </w:rPr>
    </w:lvl>
    <w:lvl w:ilvl="3" w:tplc="2FAEA598" w:tentative="1">
      <w:start w:val="1"/>
      <w:numFmt w:val="bullet"/>
      <w:lvlText w:val="•"/>
      <w:lvlJc w:val="left"/>
      <w:pPr>
        <w:tabs>
          <w:tab w:val="num" w:pos="2880"/>
        </w:tabs>
        <w:ind w:left="2880" w:hanging="360"/>
      </w:pPr>
      <w:rPr>
        <w:rFonts w:ascii="Arial" w:hAnsi="Arial" w:hint="default"/>
      </w:rPr>
    </w:lvl>
    <w:lvl w:ilvl="4" w:tplc="3CFE3944" w:tentative="1">
      <w:start w:val="1"/>
      <w:numFmt w:val="bullet"/>
      <w:lvlText w:val="•"/>
      <w:lvlJc w:val="left"/>
      <w:pPr>
        <w:tabs>
          <w:tab w:val="num" w:pos="3600"/>
        </w:tabs>
        <w:ind w:left="3600" w:hanging="360"/>
      </w:pPr>
      <w:rPr>
        <w:rFonts w:ascii="Arial" w:hAnsi="Arial" w:hint="default"/>
      </w:rPr>
    </w:lvl>
    <w:lvl w:ilvl="5" w:tplc="6F6E5002" w:tentative="1">
      <w:start w:val="1"/>
      <w:numFmt w:val="bullet"/>
      <w:lvlText w:val="•"/>
      <w:lvlJc w:val="left"/>
      <w:pPr>
        <w:tabs>
          <w:tab w:val="num" w:pos="4320"/>
        </w:tabs>
        <w:ind w:left="4320" w:hanging="360"/>
      </w:pPr>
      <w:rPr>
        <w:rFonts w:ascii="Arial" w:hAnsi="Arial" w:hint="default"/>
      </w:rPr>
    </w:lvl>
    <w:lvl w:ilvl="6" w:tplc="CC36AAD6" w:tentative="1">
      <w:start w:val="1"/>
      <w:numFmt w:val="bullet"/>
      <w:lvlText w:val="•"/>
      <w:lvlJc w:val="left"/>
      <w:pPr>
        <w:tabs>
          <w:tab w:val="num" w:pos="5040"/>
        </w:tabs>
        <w:ind w:left="5040" w:hanging="360"/>
      </w:pPr>
      <w:rPr>
        <w:rFonts w:ascii="Arial" w:hAnsi="Arial" w:hint="default"/>
      </w:rPr>
    </w:lvl>
    <w:lvl w:ilvl="7" w:tplc="7070F298" w:tentative="1">
      <w:start w:val="1"/>
      <w:numFmt w:val="bullet"/>
      <w:lvlText w:val="•"/>
      <w:lvlJc w:val="left"/>
      <w:pPr>
        <w:tabs>
          <w:tab w:val="num" w:pos="5760"/>
        </w:tabs>
        <w:ind w:left="5760" w:hanging="360"/>
      </w:pPr>
      <w:rPr>
        <w:rFonts w:ascii="Arial" w:hAnsi="Arial" w:hint="default"/>
      </w:rPr>
    </w:lvl>
    <w:lvl w:ilvl="8" w:tplc="691E3C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7042B3"/>
    <w:multiLevelType w:val="hybridMultilevel"/>
    <w:tmpl w:val="219A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57DDD"/>
    <w:multiLevelType w:val="multilevel"/>
    <w:tmpl w:val="D062B85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10E4ECA"/>
    <w:multiLevelType w:val="multilevel"/>
    <w:tmpl w:val="B1E089D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1CE13A0"/>
    <w:multiLevelType w:val="hybridMultilevel"/>
    <w:tmpl w:val="16D8A800"/>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15:restartNumberingAfterBreak="0">
    <w:nsid w:val="2250120E"/>
    <w:multiLevelType w:val="hybridMultilevel"/>
    <w:tmpl w:val="C1F6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D21A9"/>
    <w:multiLevelType w:val="hybridMultilevel"/>
    <w:tmpl w:val="71344F42"/>
    <w:lvl w:ilvl="0" w:tplc="64266DC4">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27607"/>
    <w:multiLevelType w:val="hybridMultilevel"/>
    <w:tmpl w:val="71F0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D52C8"/>
    <w:multiLevelType w:val="hybridMultilevel"/>
    <w:tmpl w:val="1452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76354"/>
    <w:multiLevelType w:val="hybridMultilevel"/>
    <w:tmpl w:val="B452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74687"/>
    <w:multiLevelType w:val="hybridMultilevel"/>
    <w:tmpl w:val="D7B494C8"/>
    <w:lvl w:ilvl="0" w:tplc="2160D2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E19C4"/>
    <w:multiLevelType w:val="multilevel"/>
    <w:tmpl w:val="5AAA8D4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F254B01"/>
    <w:multiLevelType w:val="hybridMultilevel"/>
    <w:tmpl w:val="5F884830"/>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36EE056E"/>
    <w:multiLevelType w:val="hybridMultilevel"/>
    <w:tmpl w:val="E10C143C"/>
    <w:lvl w:ilvl="0" w:tplc="08090001">
      <w:start w:val="1"/>
      <w:numFmt w:val="bullet"/>
      <w:lvlText w:val=""/>
      <w:lvlJc w:val="left"/>
      <w:pPr>
        <w:ind w:left="139" w:hanging="360"/>
      </w:pPr>
      <w:rPr>
        <w:rFonts w:ascii="Symbol" w:hAnsi="Symbol" w:hint="default"/>
      </w:rPr>
    </w:lvl>
    <w:lvl w:ilvl="1" w:tplc="08090003" w:tentative="1">
      <w:start w:val="1"/>
      <w:numFmt w:val="bullet"/>
      <w:lvlText w:val="o"/>
      <w:lvlJc w:val="left"/>
      <w:pPr>
        <w:ind w:left="859" w:hanging="360"/>
      </w:pPr>
      <w:rPr>
        <w:rFonts w:ascii="Courier New" w:hAnsi="Courier New" w:cs="Courier New" w:hint="default"/>
      </w:rPr>
    </w:lvl>
    <w:lvl w:ilvl="2" w:tplc="08090005" w:tentative="1">
      <w:start w:val="1"/>
      <w:numFmt w:val="bullet"/>
      <w:lvlText w:val=""/>
      <w:lvlJc w:val="left"/>
      <w:pPr>
        <w:ind w:left="1579" w:hanging="360"/>
      </w:pPr>
      <w:rPr>
        <w:rFonts w:ascii="Wingdings" w:hAnsi="Wingdings" w:hint="default"/>
      </w:rPr>
    </w:lvl>
    <w:lvl w:ilvl="3" w:tplc="08090001" w:tentative="1">
      <w:start w:val="1"/>
      <w:numFmt w:val="bullet"/>
      <w:lvlText w:val=""/>
      <w:lvlJc w:val="left"/>
      <w:pPr>
        <w:ind w:left="2299" w:hanging="360"/>
      </w:pPr>
      <w:rPr>
        <w:rFonts w:ascii="Symbol" w:hAnsi="Symbol" w:hint="default"/>
      </w:rPr>
    </w:lvl>
    <w:lvl w:ilvl="4" w:tplc="08090003" w:tentative="1">
      <w:start w:val="1"/>
      <w:numFmt w:val="bullet"/>
      <w:lvlText w:val="o"/>
      <w:lvlJc w:val="left"/>
      <w:pPr>
        <w:ind w:left="3019" w:hanging="360"/>
      </w:pPr>
      <w:rPr>
        <w:rFonts w:ascii="Courier New" w:hAnsi="Courier New" w:cs="Courier New" w:hint="default"/>
      </w:rPr>
    </w:lvl>
    <w:lvl w:ilvl="5" w:tplc="08090005" w:tentative="1">
      <w:start w:val="1"/>
      <w:numFmt w:val="bullet"/>
      <w:lvlText w:val=""/>
      <w:lvlJc w:val="left"/>
      <w:pPr>
        <w:ind w:left="3739" w:hanging="360"/>
      </w:pPr>
      <w:rPr>
        <w:rFonts w:ascii="Wingdings" w:hAnsi="Wingdings" w:hint="default"/>
      </w:rPr>
    </w:lvl>
    <w:lvl w:ilvl="6" w:tplc="08090001" w:tentative="1">
      <w:start w:val="1"/>
      <w:numFmt w:val="bullet"/>
      <w:lvlText w:val=""/>
      <w:lvlJc w:val="left"/>
      <w:pPr>
        <w:ind w:left="4459" w:hanging="360"/>
      </w:pPr>
      <w:rPr>
        <w:rFonts w:ascii="Symbol" w:hAnsi="Symbol" w:hint="default"/>
      </w:rPr>
    </w:lvl>
    <w:lvl w:ilvl="7" w:tplc="08090003" w:tentative="1">
      <w:start w:val="1"/>
      <w:numFmt w:val="bullet"/>
      <w:lvlText w:val="o"/>
      <w:lvlJc w:val="left"/>
      <w:pPr>
        <w:ind w:left="5179" w:hanging="360"/>
      </w:pPr>
      <w:rPr>
        <w:rFonts w:ascii="Courier New" w:hAnsi="Courier New" w:cs="Courier New" w:hint="default"/>
      </w:rPr>
    </w:lvl>
    <w:lvl w:ilvl="8" w:tplc="08090005" w:tentative="1">
      <w:start w:val="1"/>
      <w:numFmt w:val="bullet"/>
      <w:lvlText w:val=""/>
      <w:lvlJc w:val="left"/>
      <w:pPr>
        <w:ind w:left="5899" w:hanging="360"/>
      </w:pPr>
      <w:rPr>
        <w:rFonts w:ascii="Wingdings" w:hAnsi="Wingdings" w:hint="default"/>
      </w:rPr>
    </w:lvl>
  </w:abstractNum>
  <w:abstractNum w:abstractNumId="14" w15:restartNumberingAfterBreak="0">
    <w:nsid w:val="374F1957"/>
    <w:multiLevelType w:val="hybridMultilevel"/>
    <w:tmpl w:val="AF48D878"/>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3EB860DA"/>
    <w:multiLevelType w:val="multilevel"/>
    <w:tmpl w:val="A2180F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760FD4"/>
    <w:multiLevelType w:val="hybridMultilevel"/>
    <w:tmpl w:val="C1AA07E6"/>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44011F4E"/>
    <w:multiLevelType w:val="hybridMultilevel"/>
    <w:tmpl w:val="04FC990E"/>
    <w:lvl w:ilvl="0" w:tplc="D85E1D4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D0B47"/>
    <w:multiLevelType w:val="hybridMultilevel"/>
    <w:tmpl w:val="C71E64EC"/>
    <w:lvl w:ilvl="0" w:tplc="29A4C986">
      <w:start w:val="1"/>
      <w:numFmt w:val="bullet"/>
      <w:lvlText w:val="•"/>
      <w:lvlJc w:val="left"/>
      <w:pPr>
        <w:tabs>
          <w:tab w:val="num" w:pos="720"/>
        </w:tabs>
        <w:ind w:left="720" w:hanging="360"/>
      </w:pPr>
      <w:rPr>
        <w:rFonts w:ascii="Arial" w:hAnsi="Arial" w:hint="default"/>
      </w:rPr>
    </w:lvl>
    <w:lvl w:ilvl="1" w:tplc="D2385A18" w:tentative="1">
      <w:start w:val="1"/>
      <w:numFmt w:val="bullet"/>
      <w:lvlText w:val="•"/>
      <w:lvlJc w:val="left"/>
      <w:pPr>
        <w:tabs>
          <w:tab w:val="num" w:pos="1440"/>
        </w:tabs>
        <w:ind w:left="1440" w:hanging="360"/>
      </w:pPr>
      <w:rPr>
        <w:rFonts w:ascii="Arial" w:hAnsi="Arial" w:hint="default"/>
      </w:rPr>
    </w:lvl>
    <w:lvl w:ilvl="2" w:tplc="E0969C36" w:tentative="1">
      <w:start w:val="1"/>
      <w:numFmt w:val="bullet"/>
      <w:lvlText w:val="•"/>
      <w:lvlJc w:val="left"/>
      <w:pPr>
        <w:tabs>
          <w:tab w:val="num" w:pos="2160"/>
        </w:tabs>
        <w:ind w:left="2160" w:hanging="360"/>
      </w:pPr>
      <w:rPr>
        <w:rFonts w:ascii="Arial" w:hAnsi="Arial" w:hint="default"/>
      </w:rPr>
    </w:lvl>
    <w:lvl w:ilvl="3" w:tplc="6A9A00B0" w:tentative="1">
      <w:start w:val="1"/>
      <w:numFmt w:val="bullet"/>
      <w:lvlText w:val="•"/>
      <w:lvlJc w:val="left"/>
      <w:pPr>
        <w:tabs>
          <w:tab w:val="num" w:pos="2880"/>
        </w:tabs>
        <w:ind w:left="2880" w:hanging="360"/>
      </w:pPr>
      <w:rPr>
        <w:rFonts w:ascii="Arial" w:hAnsi="Arial" w:hint="default"/>
      </w:rPr>
    </w:lvl>
    <w:lvl w:ilvl="4" w:tplc="BE1A9AC4" w:tentative="1">
      <w:start w:val="1"/>
      <w:numFmt w:val="bullet"/>
      <w:lvlText w:val="•"/>
      <w:lvlJc w:val="left"/>
      <w:pPr>
        <w:tabs>
          <w:tab w:val="num" w:pos="3600"/>
        </w:tabs>
        <w:ind w:left="3600" w:hanging="360"/>
      </w:pPr>
      <w:rPr>
        <w:rFonts w:ascii="Arial" w:hAnsi="Arial" w:hint="default"/>
      </w:rPr>
    </w:lvl>
    <w:lvl w:ilvl="5" w:tplc="BF745A2E" w:tentative="1">
      <w:start w:val="1"/>
      <w:numFmt w:val="bullet"/>
      <w:lvlText w:val="•"/>
      <w:lvlJc w:val="left"/>
      <w:pPr>
        <w:tabs>
          <w:tab w:val="num" w:pos="4320"/>
        </w:tabs>
        <w:ind w:left="4320" w:hanging="360"/>
      </w:pPr>
      <w:rPr>
        <w:rFonts w:ascii="Arial" w:hAnsi="Arial" w:hint="default"/>
      </w:rPr>
    </w:lvl>
    <w:lvl w:ilvl="6" w:tplc="2C9EF58E" w:tentative="1">
      <w:start w:val="1"/>
      <w:numFmt w:val="bullet"/>
      <w:lvlText w:val="•"/>
      <w:lvlJc w:val="left"/>
      <w:pPr>
        <w:tabs>
          <w:tab w:val="num" w:pos="5040"/>
        </w:tabs>
        <w:ind w:left="5040" w:hanging="360"/>
      </w:pPr>
      <w:rPr>
        <w:rFonts w:ascii="Arial" w:hAnsi="Arial" w:hint="default"/>
      </w:rPr>
    </w:lvl>
    <w:lvl w:ilvl="7" w:tplc="F0B03466" w:tentative="1">
      <w:start w:val="1"/>
      <w:numFmt w:val="bullet"/>
      <w:lvlText w:val="•"/>
      <w:lvlJc w:val="left"/>
      <w:pPr>
        <w:tabs>
          <w:tab w:val="num" w:pos="5760"/>
        </w:tabs>
        <w:ind w:left="5760" w:hanging="360"/>
      </w:pPr>
      <w:rPr>
        <w:rFonts w:ascii="Arial" w:hAnsi="Arial" w:hint="default"/>
      </w:rPr>
    </w:lvl>
    <w:lvl w:ilvl="8" w:tplc="825ED3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3F2977"/>
    <w:multiLevelType w:val="multilevel"/>
    <w:tmpl w:val="E33AA500"/>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A4A0CED"/>
    <w:multiLevelType w:val="hybridMultilevel"/>
    <w:tmpl w:val="DB747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051F14"/>
    <w:multiLevelType w:val="hybridMultilevel"/>
    <w:tmpl w:val="DE806748"/>
    <w:lvl w:ilvl="0" w:tplc="2160D2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164D8"/>
    <w:multiLevelType w:val="multilevel"/>
    <w:tmpl w:val="0FBAA0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E6664E"/>
    <w:multiLevelType w:val="hybridMultilevel"/>
    <w:tmpl w:val="17D23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93F12"/>
    <w:multiLevelType w:val="hybridMultilevel"/>
    <w:tmpl w:val="9AEC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B0A83"/>
    <w:multiLevelType w:val="multilevel"/>
    <w:tmpl w:val="F34C4B1A"/>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C844575"/>
    <w:multiLevelType w:val="hybridMultilevel"/>
    <w:tmpl w:val="BEA8D1E2"/>
    <w:lvl w:ilvl="0" w:tplc="2160D26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8E35AD"/>
    <w:multiLevelType w:val="hybridMultilevel"/>
    <w:tmpl w:val="7558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807F8"/>
    <w:multiLevelType w:val="hybridMultilevel"/>
    <w:tmpl w:val="AE90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303E8"/>
    <w:multiLevelType w:val="hybridMultilevel"/>
    <w:tmpl w:val="25D01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8953F03"/>
    <w:multiLevelType w:val="hybridMultilevel"/>
    <w:tmpl w:val="2E8AC05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255745074">
    <w:abstractNumId w:val="4"/>
  </w:num>
  <w:num w:numId="2" w16cid:durableId="1430851656">
    <w:abstractNumId w:val="12"/>
  </w:num>
  <w:num w:numId="3" w16cid:durableId="902642184">
    <w:abstractNumId w:val="16"/>
  </w:num>
  <w:num w:numId="4" w16cid:durableId="994184850">
    <w:abstractNumId w:val="14"/>
  </w:num>
  <w:num w:numId="5" w16cid:durableId="1377199101">
    <w:abstractNumId w:val="17"/>
  </w:num>
  <w:num w:numId="6" w16cid:durableId="320079667">
    <w:abstractNumId w:val="7"/>
  </w:num>
  <w:num w:numId="7" w16cid:durableId="125778966">
    <w:abstractNumId w:val="27"/>
  </w:num>
  <w:num w:numId="8" w16cid:durableId="726105609">
    <w:abstractNumId w:val="28"/>
  </w:num>
  <w:num w:numId="9" w16cid:durableId="1734891626">
    <w:abstractNumId w:val="24"/>
  </w:num>
  <w:num w:numId="10" w16cid:durableId="2101636742">
    <w:abstractNumId w:val="1"/>
  </w:num>
  <w:num w:numId="11" w16cid:durableId="1888106447">
    <w:abstractNumId w:val="8"/>
  </w:num>
  <w:num w:numId="12" w16cid:durableId="736559399">
    <w:abstractNumId w:val="5"/>
  </w:num>
  <w:num w:numId="13" w16cid:durableId="2062904750">
    <w:abstractNumId w:val="9"/>
  </w:num>
  <w:num w:numId="14" w16cid:durableId="505052325">
    <w:abstractNumId w:val="13"/>
  </w:num>
  <w:num w:numId="15" w16cid:durableId="45567323">
    <w:abstractNumId w:val="20"/>
  </w:num>
  <w:num w:numId="16" w16cid:durableId="202134275">
    <w:abstractNumId w:val="26"/>
  </w:num>
  <w:num w:numId="17" w16cid:durableId="491415537">
    <w:abstractNumId w:val="10"/>
  </w:num>
  <w:num w:numId="18" w16cid:durableId="465976666">
    <w:abstractNumId w:val="2"/>
  </w:num>
  <w:num w:numId="19" w16cid:durableId="1282111132">
    <w:abstractNumId w:val="3"/>
  </w:num>
  <w:num w:numId="20" w16cid:durableId="1444303285">
    <w:abstractNumId w:val="22"/>
  </w:num>
  <w:num w:numId="21" w16cid:durableId="180630379">
    <w:abstractNumId w:val="11"/>
  </w:num>
  <w:num w:numId="22" w16cid:durableId="300159758">
    <w:abstractNumId w:val="21"/>
  </w:num>
  <w:num w:numId="23" w16cid:durableId="510334249">
    <w:abstractNumId w:val="25"/>
  </w:num>
  <w:num w:numId="24" w16cid:durableId="1157694994">
    <w:abstractNumId w:val="19"/>
  </w:num>
  <w:num w:numId="25" w16cid:durableId="1740517695">
    <w:abstractNumId w:val="15"/>
  </w:num>
  <w:num w:numId="26" w16cid:durableId="614946544">
    <w:abstractNumId w:val="6"/>
  </w:num>
  <w:num w:numId="27" w16cid:durableId="1228767201">
    <w:abstractNumId w:val="30"/>
  </w:num>
  <w:num w:numId="28" w16cid:durableId="140270053">
    <w:abstractNumId w:val="29"/>
  </w:num>
  <w:num w:numId="29" w16cid:durableId="261189954">
    <w:abstractNumId w:val="18"/>
  </w:num>
  <w:num w:numId="30" w16cid:durableId="1192034330">
    <w:abstractNumId w:val="0"/>
  </w:num>
  <w:num w:numId="31" w16cid:durableId="63098374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6C"/>
    <w:rsid w:val="00003AB7"/>
    <w:rsid w:val="00004858"/>
    <w:rsid w:val="00005241"/>
    <w:rsid w:val="000063B2"/>
    <w:rsid w:val="00006791"/>
    <w:rsid w:val="00010048"/>
    <w:rsid w:val="00010391"/>
    <w:rsid w:val="0001089C"/>
    <w:rsid w:val="00010919"/>
    <w:rsid w:val="0001092B"/>
    <w:rsid w:val="00010AE3"/>
    <w:rsid w:val="00010ED3"/>
    <w:rsid w:val="000110D1"/>
    <w:rsid w:val="00011DB6"/>
    <w:rsid w:val="000136F8"/>
    <w:rsid w:val="0001370B"/>
    <w:rsid w:val="0001372E"/>
    <w:rsid w:val="00013E21"/>
    <w:rsid w:val="00017927"/>
    <w:rsid w:val="0002117E"/>
    <w:rsid w:val="00021939"/>
    <w:rsid w:val="00023212"/>
    <w:rsid w:val="00024710"/>
    <w:rsid w:val="00025232"/>
    <w:rsid w:val="0002576D"/>
    <w:rsid w:val="00026289"/>
    <w:rsid w:val="000266D3"/>
    <w:rsid w:val="000268AA"/>
    <w:rsid w:val="00026901"/>
    <w:rsid w:val="000272BC"/>
    <w:rsid w:val="0003025B"/>
    <w:rsid w:val="00032485"/>
    <w:rsid w:val="0003364F"/>
    <w:rsid w:val="00033F9D"/>
    <w:rsid w:val="000341B7"/>
    <w:rsid w:val="00034EC8"/>
    <w:rsid w:val="00035428"/>
    <w:rsid w:val="000370A1"/>
    <w:rsid w:val="00037222"/>
    <w:rsid w:val="00040472"/>
    <w:rsid w:val="00041CF7"/>
    <w:rsid w:val="000424F6"/>
    <w:rsid w:val="00044A30"/>
    <w:rsid w:val="000472A7"/>
    <w:rsid w:val="000478C2"/>
    <w:rsid w:val="000503FC"/>
    <w:rsid w:val="000509E3"/>
    <w:rsid w:val="000552EF"/>
    <w:rsid w:val="000578E5"/>
    <w:rsid w:val="00057A08"/>
    <w:rsid w:val="00062911"/>
    <w:rsid w:val="00062975"/>
    <w:rsid w:val="00063EE9"/>
    <w:rsid w:val="000657F8"/>
    <w:rsid w:val="00066A55"/>
    <w:rsid w:val="00066B7B"/>
    <w:rsid w:val="00067649"/>
    <w:rsid w:val="00067E3C"/>
    <w:rsid w:val="000705BC"/>
    <w:rsid w:val="00071CF9"/>
    <w:rsid w:val="0007236A"/>
    <w:rsid w:val="00073148"/>
    <w:rsid w:val="0007455B"/>
    <w:rsid w:val="00074594"/>
    <w:rsid w:val="000751EA"/>
    <w:rsid w:val="00075234"/>
    <w:rsid w:val="000756E1"/>
    <w:rsid w:val="00075918"/>
    <w:rsid w:val="00076008"/>
    <w:rsid w:val="00076130"/>
    <w:rsid w:val="00076C0B"/>
    <w:rsid w:val="00077158"/>
    <w:rsid w:val="000809A6"/>
    <w:rsid w:val="00081111"/>
    <w:rsid w:val="000821EA"/>
    <w:rsid w:val="000824BA"/>
    <w:rsid w:val="00083731"/>
    <w:rsid w:val="00085193"/>
    <w:rsid w:val="0008536B"/>
    <w:rsid w:val="0008554C"/>
    <w:rsid w:val="00091673"/>
    <w:rsid w:val="000926A9"/>
    <w:rsid w:val="000929F1"/>
    <w:rsid w:val="00092DB5"/>
    <w:rsid w:val="0009472D"/>
    <w:rsid w:val="0009525D"/>
    <w:rsid w:val="00096A02"/>
    <w:rsid w:val="00096CBD"/>
    <w:rsid w:val="000972F6"/>
    <w:rsid w:val="000A0D24"/>
    <w:rsid w:val="000A200A"/>
    <w:rsid w:val="000A225C"/>
    <w:rsid w:val="000A28D5"/>
    <w:rsid w:val="000A2986"/>
    <w:rsid w:val="000A30CA"/>
    <w:rsid w:val="000A4979"/>
    <w:rsid w:val="000A502D"/>
    <w:rsid w:val="000A54B8"/>
    <w:rsid w:val="000A6816"/>
    <w:rsid w:val="000A6B79"/>
    <w:rsid w:val="000B236A"/>
    <w:rsid w:val="000B34B3"/>
    <w:rsid w:val="000B495B"/>
    <w:rsid w:val="000B57C9"/>
    <w:rsid w:val="000B5FD1"/>
    <w:rsid w:val="000B6FBB"/>
    <w:rsid w:val="000B7F68"/>
    <w:rsid w:val="000C1164"/>
    <w:rsid w:val="000C1656"/>
    <w:rsid w:val="000C4520"/>
    <w:rsid w:val="000C531F"/>
    <w:rsid w:val="000C612D"/>
    <w:rsid w:val="000C6B4F"/>
    <w:rsid w:val="000C6CF3"/>
    <w:rsid w:val="000C768C"/>
    <w:rsid w:val="000C7C5B"/>
    <w:rsid w:val="000D00C6"/>
    <w:rsid w:val="000D0424"/>
    <w:rsid w:val="000D790E"/>
    <w:rsid w:val="000E0151"/>
    <w:rsid w:val="000E12D7"/>
    <w:rsid w:val="000E325E"/>
    <w:rsid w:val="000E34E1"/>
    <w:rsid w:val="000E368B"/>
    <w:rsid w:val="000E59E6"/>
    <w:rsid w:val="000E731C"/>
    <w:rsid w:val="000F1423"/>
    <w:rsid w:val="000F1545"/>
    <w:rsid w:val="000F1870"/>
    <w:rsid w:val="000F1A7B"/>
    <w:rsid w:val="000F2EDE"/>
    <w:rsid w:val="000F3083"/>
    <w:rsid w:val="000F3410"/>
    <w:rsid w:val="000F3A95"/>
    <w:rsid w:val="000F48B1"/>
    <w:rsid w:val="000F77AC"/>
    <w:rsid w:val="000F7D18"/>
    <w:rsid w:val="0010080C"/>
    <w:rsid w:val="00100D49"/>
    <w:rsid w:val="00101847"/>
    <w:rsid w:val="00103ADF"/>
    <w:rsid w:val="00103C01"/>
    <w:rsid w:val="0010446C"/>
    <w:rsid w:val="00105539"/>
    <w:rsid w:val="00107903"/>
    <w:rsid w:val="001104B0"/>
    <w:rsid w:val="001118D2"/>
    <w:rsid w:val="00112C08"/>
    <w:rsid w:val="00114039"/>
    <w:rsid w:val="00115430"/>
    <w:rsid w:val="001161DA"/>
    <w:rsid w:val="001178AC"/>
    <w:rsid w:val="00125286"/>
    <w:rsid w:val="0012534B"/>
    <w:rsid w:val="001257A2"/>
    <w:rsid w:val="00125CEB"/>
    <w:rsid w:val="00127646"/>
    <w:rsid w:val="00127B4D"/>
    <w:rsid w:val="00130C06"/>
    <w:rsid w:val="00131EF5"/>
    <w:rsid w:val="00132590"/>
    <w:rsid w:val="00132E04"/>
    <w:rsid w:val="00132E1B"/>
    <w:rsid w:val="0013514B"/>
    <w:rsid w:val="001374A8"/>
    <w:rsid w:val="00140C36"/>
    <w:rsid w:val="00140F6C"/>
    <w:rsid w:val="001410A2"/>
    <w:rsid w:val="001412B9"/>
    <w:rsid w:val="0014166F"/>
    <w:rsid w:val="00142254"/>
    <w:rsid w:val="001424A4"/>
    <w:rsid w:val="0014261E"/>
    <w:rsid w:val="00142D72"/>
    <w:rsid w:val="00143176"/>
    <w:rsid w:val="00143392"/>
    <w:rsid w:val="00143D71"/>
    <w:rsid w:val="001459E0"/>
    <w:rsid w:val="001474DD"/>
    <w:rsid w:val="00147C32"/>
    <w:rsid w:val="00150CD1"/>
    <w:rsid w:val="00151196"/>
    <w:rsid w:val="00152BAB"/>
    <w:rsid w:val="00153611"/>
    <w:rsid w:val="00153941"/>
    <w:rsid w:val="00154FEA"/>
    <w:rsid w:val="001567BD"/>
    <w:rsid w:val="0015750F"/>
    <w:rsid w:val="001613AE"/>
    <w:rsid w:val="001626EF"/>
    <w:rsid w:val="00163B91"/>
    <w:rsid w:val="00163FF7"/>
    <w:rsid w:val="0016413A"/>
    <w:rsid w:val="00164C66"/>
    <w:rsid w:val="00164FE4"/>
    <w:rsid w:val="00167059"/>
    <w:rsid w:val="001677E0"/>
    <w:rsid w:val="00170939"/>
    <w:rsid w:val="00170A40"/>
    <w:rsid w:val="001713E8"/>
    <w:rsid w:val="00173C80"/>
    <w:rsid w:val="00175493"/>
    <w:rsid w:val="0017664C"/>
    <w:rsid w:val="001773CD"/>
    <w:rsid w:val="00181745"/>
    <w:rsid w:val="00182A9E"/>
    <w:rsid w:val="00182B19"/>
    <w:rsid w:val="00182C5D"/>
    <w:rsid w:val="0018507E"/>
    <w:rsid w:val="00185E7A"/>
    <w:rsid w:val="0018793C"/>
    <w:rsid w:val="00191B7F"/>
    <w:rsid w:val="001925C7"/>
    <w:rsid w:val="00193170"/>
    <w:rsid w:val="00193999"/>
    <w:rsid w:val="001950FD"/>
    <w:rsid w:val="0019585D"/>
    <w:rsid w:val="00196346"/>
    <w:rsid w:val="001A2BE6"/>
    <w:rsid w:val="001A31F8"/>
    <w:rsid w:val="001A4202"/>
    <w:rsid w:val="001A44B1"/>
    <w:rsid w:val="001A4C5A"/>
    <w:rsid w:val="001A55A7"/>
    <w:rsid w:val="001A5682"/>
    <w:rsid w:val="001A734F"/>
    <w:rsid w:val="001A759D"/>
    <w:rsid w:val="001A7E22"/>
    <w:rsid w:val="001A7E9F"/>
    <w:rsid w:val="001B0C55"/>
    <w:rsid w:val="001B21DB"/>
    <w:rsid w:val="001B23EA"/>
    <w:rsid w:val="001B2664"/>
    <w:rsid w:val="001B2BC9"/>
    <w:rsid w:val="001B582A"/>
    <w:rsid w:val="001B70F2"/>
    <w:rsid w:val="001B7339"/>
    <w:rsid w:val="001B74C4"/>
    <w:rsid w:val="001B752D"/>
    <w:rsid w:val="001B7D19"/>
    <w:rsid w:val="001C0230"/>
    <w:rsid w:val="001C3079"/>
    <w:rsid w:val="001C4966"/>
    <w:rsid w:val="001D0BF5"/>
    <w:rsid w:val="001D10FB"/>
    <w:rsid w:val="001D14DB"/>
    <w:rsid w:val="001D2681"/>
    <w:rsid w:val="001D2BE1"/>
    <w:rsid w:val="001D2FE4"/>
    <w:rsid w:val="001D59CD"/>
    <w:rsid w:val="001D688E"/>
    <w:rsid w:val="001E0499"/>
    <w:rsid w:val="001E0928"/>
    <w:rsid w:val="001E0BEC"/>
    <w:rsid w:val="001E1416"/>
    <w:rsid w:val="001E2371"/>
    <w:rsid w:val="001E40D0"/>
    <w:rsid w:val="001E43A7"/>
    <w:rsid w:val="001E4AAD"/>
    <w:rsid w:val="001E509B"/>
    <w:rsid w:val="001E5CC1"/>
    <w:rsid w:val="001E7039"/>
    <w:rsid w:val="001F1620"/>
    <w:rsid w:val="001F44F6"/>
    <w:rsid w:val="001F494F"/>
    <w:rsid w:val="001F5124"/>
    <w:rsid w:val="001F5296"/>
    <w:rsid w:val="001F6149"/>
    <w:rsid w:val="001F725E"/>
    <w:rsid w:val="001F77E1"/>
    <w:rsid w:val="001F7F60"/>
    <w:rsid w:val="00200F32"/>
    <w:rsid w:val="00201B02"/>
    <w:rsid w:val="0020215D"/>
    <w:rsid w:val="0020319B"/>
    <w:rsid w:val="00203736"/>
    <w:rsid w:val="002040AF"/>
    <w:rsid w:val="0020416B"/>
    <w:rsid w:val="002048B6"/>
    <w:rsid w:val="00205FCF"/>
    <w:rsid w:val="002079EC"/>
    <w:rsid w:val="00210E18"/>
    <w:rsid w:val="0021111B"/>
    <w:rsid w:val="00211612"/>
    <w:rsid w:val="002117FC"/>
    <w:rsid w:val="0021195D"/>
    <w:rsid w:val="00212BF0"/>
    <w:rsid w:val="00212C86"/>
    <w:rsid w:val="002131B6"/>
    <w:rsid w:val="00214268"/>
    <w:rsid w:val="0021443D"/>
    <w:rsid w:val="002145B0"/>
    <w:rsid w:val="00215C88"/>
    <w:rsid w:val="002166F1"/>
    <w:rsid w:val="00217209"/>
    <w:rsid w:val="00217868"/>
    <w:rsid w:val="00221CFA"/>
    <w:rsid w:val="00221EE1"/>
    <w:rsid w:val="0022489B"/>
    <w:rsid w:val="00226292"/>
    <w:rsid w:val="00226667"/>
    <w:rsid w:val="0022676E"/>
    <w:rsid w:val="00226FAB"/>
    <w:rsid w:val="00227A2A"/>
    <w:rsid w:val="00227DA8"/>
    <w:rsid w:val="00227EB7"/>
    <w:rsid w:val="00231797"/>
    <w:rsid w:val="00231C5D"/>
    <w:rsid w:val="00231E78"/>
    <w:rsid w:val="00232942"/>
    <w:rsid w:val="00232C2B"/>
    <w:rsid w:val="00233175"/>
    <w:rsid w:val="002344CD"/>
    <w:rsid w:val="00234B79"/>
    <w:rsid w:val="00234E28"/>
    <w:rsid w:val="00235FF3"/>
    <w:rsid w:val="00236B95"/>
    <w:rsid w:val="00237264"/>
    <w:rsid w:val="00237F85"/>
    <w:rsid w:val="00241BAB"/>
    <w:rsid w:val="002424A2"/>
    <w:rsid w:val="00247792"/>
    <w:rsid w:val="00247D06"/>
    <w:rsid w:val="0025154E"/>
    <w:rsid w:val="00251BF2"/>
    <w:rsid w:val="00252B4D"/>
    <w:rsid w:val="00252F71"/>
    <w:rsid w:val="00254B13"/>
    <w:rsid w:val="00255211"/>
    <w:rsid w:val="002562EF"/>
    <w:rsid w:val="0026180B"/>
    <w:rsid w:val="002671D7"/>
    <w:rsid w:val="002723E9"/>
    <w:rsid w:val="002729D0"/>
    <w:rsid w:val="00273230"/>
    <w:rsid w:val="00274E23"/>
    <w:rsid w:val="00275ACD"/>
    <w:rsid w:val="0027663D"/>
    <w:rsid w:val="00276DC3"/>
    <w:rsid w:val="00277306"/>
    <w:rsid w:val="002807DC"/>
    <w:rsid w:val="00281C08"/>
    <w:rsid w:val="00281E17"/>
    <w:rsid w:val="00285FF3"/>
    <w:rsid w:val="002869A1"/>
    <w:rsid w:val="0028781A"/>
    <w:rsid w:val="00287BFC"/>
    <w:rsid w:val="00290781"/>
    <w:rsid w:val="002918E9"/>
    <w:rsid w:val="00291F02"/>
    <w:rsid w:val="002923F2"/>
    <w:rsid w:val="002928BE"/>
    <w:rsid w:val="002938F8"/>
    <w:rsid w:val="00294EE5"/>
    <w:rsid w:val="00296330"/>
    <w:rsid w:val="00296BBD"/>
    <w:rsid w:val="00296E0D"/>
    <w:rsid w:val="00297143"/>
    <w:rsid w:val="00297500"/>
    <w:rsid w:val="002A00D4"/>
    <w:rsid w:val="002A02C1"/>
    <w:rsid w:val="002A22BD"/>
    <w:rsid w:val="002A597C"/>
    <w:rsid w:val="002A6077"/>
    <w:rsid w:val="002A68B3"/>
    <w:rsid w:val="002A6D7C"/>
    <w:rsid w:val="002A717C"/>
    <w:rsid w:val="002A7D8D"/>
    <w:rsid w:val="002B0E3E"/>
    <w:rsid w:val="002B2085"/>
    <w:rsid w:val="002B210F"/>
    <w:rsid w:val="002B2591"/>
    <w:rsid w:val="002B263E"/>
    <w:rsid w:val="002B2911"/>
    <w:rsid w:val="002B2E03"/>
    <w:rsid w:val="002B2E5C"/>
    <w:rsid w:val="002B3097"/>
    <w:rsid w:val="002B31B4"/>
    <w:rsid w:val="002B3AD5"/>
    <w:rsid w:val="002B462F"/>
    <w:rsid w:val="002B5AA5"/>
    <w:rsid w:val="002B79B7"/>
    <w:rsid w:val="002C1A9D"/>
    <w:rsid w:val="002C3501"/>
    <w:rsid w:val="002C37F0"/>
    <w:rsid w:val="002C40C7"/>
    <w:rsid w:val="002C450A"/>
    <w:rsid w:val="002C528B"/>
    <w:rsid w:val="002C69D2"/>
    <w:rsid w:val="002D0D68"/>
    <w:rsid w:val="002D13C6"/>
    <w:rsid w:val="002D1801"/>
    <w:rsid w:val="002D38F0"/>
    <w:rsid w:val="002D4F54"/>
    <w:rsid w:val="002D5D69"/>
    <w:rsid w:val="002D7731"/>
    <w:rsid w:val="002E1DA0"/>
    <w:rsid w:val="002E30EE"/>
    <w:rsid w:val="002E5972"/>
    <w:rsid w:val="002E5D78"/>
    <w:rsid w:val="002E6D40"/>
    <w:rsid w:val="002E75E8"/>
    <w:rsid w:val="002E7C2A"/>
    <w:rsid w:val="002E7EB1"/>
    <w:rsid w:val="002F152B"/>
    <w:rsid w:val="002F2514"/>
    <w:rsid w:val="002F348F"/>
    <w:rsid w:val="002F35FD"/>
    <w:rsid w:val="002F39AA"/>
    <w:rsid w:val="002F54B8"/>
    <w:rsid w:val="002F684E"/>
    <w:rsid w:val="0030111D"/>
    <w:rsid w:val="00301A8F"/>
    <w:rsid w:val="003021F6"/>
    <w:rsid w:val="00303871"/>
    <w:rsid w:val="00303D31"/>
    <w:rsid w:val="00303FFF"/>
    <w:rsid w:val="00304B64"/>
    <w:rsid w:val="003063DE"/>
    <w:rsid w:val="0031055B"/>
    <w:rsid w:val="0031106C"/>
    <w:rsid w:val="00311DB2"/>
    <w:rsid w:val="00311EF2"/>
    <w:rsid w:val="00311F65"/>
    <w:rsid w:val="003131BB"/>
    <w:rsid w:val="00313D39"/>
    <w:rsid w:val="003164EE"/>
    <w:rsid w:val="00317C69"/>
    <w:rsid w:val="00320A2B"/>
    <w:rsid w:val="00320ED9"/>
    <w:rsid w:val="0032337E"/>
    <w:rsid w:val="0032355E"/>
    <w:rsid w:val="00326167"/>
    <w:rsid w:val="00326AD6"/>
    <w:rsid w:val="00331F7B"/>
    <w:rsid w:val="00332365"/>
    <w:rsid w:val="00332412"/>
    <w:rsid w:val="00332C38"/>
    <w:rsid w:val="003331EC"/>
    <w:rsid w:val="00334115"/>
    <w:rsid w:val="00335131"/>
    <w:rsid w:val="00336B2B"/>
    <w:rsid w:val="00336E9B"/>
    <w:rsid w:val="00336ED0"/>
    <w:rsid w:val="003374F4"/>
    <w:rsid w:val="00341FA6"/>
    <w:rsid w:val="00343326"/>
    <w:rsid w:val="00343B32"/>
    <w:rsid w:val="0034423A"/>
    <w:rsid w:val="00344599"/>
    <w:rsid w:val="003446DC"/>
    <w:rsid w:val="00346538"/>
    <w:rsid w:val="0035039A"/>
    <w:rsid w:val="00350A23"/>
    <w:rsid w:val="00350F8E"/>
    <w:rsid w:val="00351272"/>
    <w:rsid w:val="003519A8"/>
    <w:rsid w:val="00351C0F"/>
    <w:rsid w:val="00351E4E"/>
    <w:rsid w:val="00353F67"/>
    <w:rsid w:val="00355608"/>
    <w:rsid w:val="00355B97"/>
    <w:rsid w:val="003571AB"/>
    <w:rsid w:val="00360510"/>
    <w:rsid w:val="00360B9E"/>
    <w:rsid w:val="00360BAE"/>
    <w:rsid w:val="003614D3"/>
    <w:rsid w:val="00364517"/>
    <w:rsid w:val="00364C2D"/>
    <w:rsid w:val="00365215"/>
    <w:rsid w:val="00365FE6"/>
    <w:rsid w:val="00365FF3"/>
    <w:rsid w:val="00366765"/>
    <w:rsid w:val="00366C50"/>
    <w:rsid w:val="00366E49"/>
    <w:rsid w:val="003673F8"/>
    <w:rsid w:val="00370651"/>
    <w:rsid w:val="00371012"/>
    <w:rsid w:val="00372D4C"/>
    <w:rsid w:val="00376A0A"/>
    <w:rsid w:val="003770E6"/>
    <w:rsid w:val="00380ED8"/>
    <w:rsid w:val="00381B61"/>
    <w:rsid w:val="00382DF9"/>
    <w:rsid w:val="003837EB"/>
    <w:rsid w:val="0038623C"/>
    <w:rsid w:val="00387130"/>
    <w:rsid w:val="00390401"/>
    <w:rsid w:val="0039085B"/>
    <w:rsid w:val="00391279"/>
    <w:rsid w:val="00391D2A"/>
    <w:rsid w:val="00392223"/>
    <w:rsid w:val="00393D1F"/>
    <w:rsid w:val="00394092"/>
    <w:rsid w:val="003957D7"/>
    <w:rsid w:val="003974FF"/>
    <w:rsid w:val="003A0273"/>
    <w:rsid w:val="003A07C5"/>
    <w:rsid w:val="003A1D11"/>
    <w:rsid w:val="003A2F28"/>
    <w:rsid w:val="003A366C"/>
    <w:rsid w:val="003A5B6C"/>
    <w:rsid w:val="003A67EE"/>
    <w:rsid w:val="003A6DFF"/>
    <w:rsid w:val="003A73D1"/>
    <w:rsid w:val="003A73F4"/>
    <w:rsid w:val="003A76FB"/>
    <w:rsid w:val="003B102A"/>
    <w:rsid w:val="003B128B"/>
    <w:rsid w:val="003B171E"/>
    <w:rsid w:val="003B704D"/>
    <w:rsid w:val="003B74D5"/>
    <w:rsid w:val="003B77FB"/>
    <w:rsid w:val="003C0BCB"/>
    <w:rsid w:val="003C23D8"/>
    <w:rsid w:val="003C2D0F"/>
    <w:rsid w:val="003C4B19"/>
    <w:rsid w:val="003C4F27"/>
    <w:rsid w:val="003C775D"/>
    <w:rsid w:val="003C789E"/>
    <w:rsid w:val="003D1861"/>
    <w:rsid w:val="003D4D21"/>
    <w:rsid w:val="003D50C3"/>
    <w:rsid w:val="003D567A"/>
    <w:rsid w:val="003D7AD8"/>
    <w:rsid w:val="003E094C"/>
    <w:rsid w:val="003E11EC"/>
    <w:rsid w:val="003E20F5"/>
    <w:rsid w:val="003E2604"/>
    <w:rsid w:val="003E47B1"/>
    <w:rsid w:val="003F12A4"/>
    <w:rsid w:val="003F3C56"/>
    <w:rsid w:val="003F5858"/>
    <w:rsid w:val="003F5AC0"/>
    <w:rsid w:val="003F7033"/>
    <w:rsid w:val="00400D55"/>
    <w:rsid w:val="0040289E"/>
    <w:rsid w:val="00402D66"/>
    <w:rsid w:val="00404511"/>
    <w:rsid w:val="00404B91"/>
    <w:rsid w:val="004050D4"/>
    <w:rsid w:val="004056B9"/>
    <w:rsid w:val="00405E33"/>
    <w:rsid w:val="00411F5D"/>
    <w:rsid w:val="0041583E"/>
    <w:rsid w:val="004158B6"/>
    <w:rsid w:val="00415D28"/>
    <w:rsid w:val="00415DB7"/>
    <w:rsid w:val="00416582"/>
    <w:rsid w:val="004168D7"/>
    <w:rsid w:val="00422FD4"/>
    <w:rsid w:val="00425F5C"/>
    <w:rsid w:val="0042637F"/>
    <w:rsid w:val="0042664F"/>
    <w:rsid w:val="00430DB9"/>
    <w:rsid w:val="004361C4"/>
    <w:rsid w:val="00436464"/>
    <w:rsid w:val="00436AE3"/>
    <w:rsid w:val="0043745A"/>
    <w:rsid w:val="00437BA3"/>
    <w:rsid w:val="00437D1B"/>
    <w:rsid w:val="004418CB"/>
    <w:rsid w:val="00442DFD"/>
    <w:rsid w:val="00443443"/>
    <w:rsid w:val="00444F0B"/>
    <w:rsid w:val="004450D8"/>
    <w:rsid w:val="00445756"/>
    <w:rsid w:val="004461BC"/>
    <w:rsid w:val="0044682C"/>
    <w:rsid w:val="00446C65"/>
    <w:rsid w:val="00446E2F"/>
    <w:rsid w:val="00446ED6"/>
    <w:rsid w:val="004471CE"/>
    <w:rsid w:val="00452159"/>
    <w:rsid w:val="00452548"/>
    <w:rsid w:val="004538CD"/>
    <w:rsid w:val="00453EE4"/>
    <w:rsid w:val="00454F7C"/>
    <w:rsid w:val="00455116"/>
    <w:rsid w:val="00455233"/>
    <w:rsid w:val="004553CC"/>
    <w:rsid w:val="00455FAA"/>
    <w:rsid w:val="00456033"/>
    <w:rsid w:val="00461066"/>
    <w:rsid w:val="00461702"/>
    <w:rsid w:val="004619D9"/>
    <w:rsid w:val="00461AD7"/>
    <w:rsid w:val="00461D97"/>
    <w:rsid w:val="00461F89"/>
    <w:rsid w:val="00462072"/>
    <w:rsid w:val="00464790"/>
    <w:rsid w:val="004654D5"/>
    <w:rsid w:val="00465B16"/>
    <w:rsid w:val="00465F6D"/>
    <w:rsid w:val="004667B4"/>
    <w:rsid w:val="00470E4B"/>
    <w:rsid w:val="00471A7B"/>
    <w:rsid w:val="00475109"/>
    <w:rsid w:val="00475C4C"/>
    <w:rsid w:val="004800A4"/>
    <w:rsid w:val="0048189B"/>
    <w:rsid w:val="004835F1"/>
    <w:rsid w:val="0048369C"/>
    <w:rsid w:val="004850B3"/>
    <w:rsid w:val="00485B89"/>
    <w:rsid w:val="004863BA"/>
    <w:rsid w:val="0048692A"/>
    <w:rsid w:val="00487897"/>
    <w:rsid w:val="00490373"/>
    <w:rsid w:val="00491768"/>
    <w:rsid w:val="0049256C"/>
    <w:rsid w:val="004928E0"/>
    <w:rsid w:val="00492FEC"/>
    <w:rsid w:val="004936DD"/>
    <w:rsid w:val="004957DC"/>
    <w:rsid w:val="004A063F"/>
    <w:rsid w:val="004A32E5"/>
    <w:rsid w:val="004A3C1F"/>
    <w:rsid w:val="004A442F"/>
    <w:rsid w:val="004A5320"/>
    <w:rsid w:val="004A6C08"/>
    <w:rsid w:val="004B0049"/>
    <w:rsid w:val="004B008F"/>
    <w:rsid w:val="004B12F8"/>
    <w:rsid w:val="004B1480"/>
    <w:rsid w:val="004B1B3B"/>
    <w:rsid w:val="004B1E8E"/>
    <w:rsid w:val="004B3E5C"/>
    <w:rsid w:val="004B4019"/>
    <w:rsid w:val="004B4A33"/>
    <w:rsid w:val="004B5A56"/>
    <w:rsid w:val="004B6767"/>
    <w:rsid w:val="004C1DDD"/>
    <w:rsid w:val="004C21A0"/>
    <w:rsid w:val="004C343C"/>
    <w:rsid w:val="004C364D"/>
    <w:rsid w:val="004C435C"/>
    <w:rsid w:val="004C703C"/>
    <w:rsid w:val="004C793C"/>
    <w:rsid w:val="004D0300"/>
    <w:rsid w:val="004D031F"/>
    <w:rsid w:val="004D04E5"/>
    <w:rsid w:val="004D0F32"/>
    <w:rsid w:val="004D10D0"/>
    <w:rsid w:val="004D164D"/>
    <w:rsid w:val="004D2FB5"/>
    <w:rsid w:val="004D3310"/>
    <w:rsid w:val="004D658E"/>
    <w:rsid w:val="004D6ADE"/>
    <w:rsid w:val="004D7663"/>
    <w:rsid w:val="004E04DD"/>
    <w:rsid w:val="004E1E99"/>
    <w:rsid w:val="004E2B82"/>
    <w:rsid w:val="004E2CB4"/>
    <w:rsid w:val="004E4781"/>
    <w:rsid w:val="004E54CF"/>
    <w:rsid w:val="004E6A56"/>
    <w:rsid w:val="004E7A80"/>
    <w:rsid w:val="004E7DCF"/>
    <w:rsid w:val="004F1833"/>
    <w:rsid w:val="004F18B6"/>
    <w:rsid w:val="004F3927"/>
    <w:rsid w:val="004F3D5A"/>
    <w:rsid w:val="004F4993"/>
    <w:rsid w:val="004F53BE"/>
    <w:rsid w:val="004F6FC7"/>
    <w:rsid w:val="0050083B"/>
    <w:rsid w:val="0050184B"/>
    <w:rsid w:val="0050242C"/>
    <w:rsid w:val="005029E2"/>
    <w:rsid w:val="00502DF7"/>
    <w:rsid w:val="00503274"/>
    <w:rsid w:val="005034FC"/>
    <w:rsid w:val="0050377B"/>
    <w:rsid w:val="0050678D"/>
    <w:rsid w:val="005070B0"/>
    <w:rsid w:val="00507250"/>
    <w:rsid w:val="00507C87"/>
    <w:rsid w:val="005126B6"/>
    <w:rsid w:val="0051276A"/>
    <w:rsid w:val="00512AF1"/>
    <w:rsid w:val="00512E1B"/>
    <w:rsid w:val="00512F65"/>
    <w:rsid w:val="00515282"/>
    <w:rsid w:val="00520478"/>
    <w:rsid w:val="00520C88"/>
    <w:rsid w:val="00520F47"/>
    <w:rsid w:val="00520F48"/>
    <w:rsid w:val="00521D65"/>
    <w:rsid w:val="00522609"/>
    <w:rsid w:val="005234BA"/>
    <w:rsid w:val="00523B0A"/>
    <w:rsid w:val="005245B1"/>
    <w:rsid w:val="00527F88"/>
    <w:rsid w:val="0053061F"/>
    <w:rsid w:val="00530E8B"/>
    <w:rsid w:val="00533038"/>
    <w:rsid w:val="00533485"/>
    <w:rsid w:val="00533F1A"/>
    <w:rsid w:val="00535041"/>
    <w:rsid w:val="00535E06"/>
    <w:rsid w:val="0053742D"/>
    <w:rsid w:val="00537D9F"/>
    <w:rsid w:val="00540C8D"/>
    <w:rsid w:val="00542489"/>
    <w:rsid w:val="0054249E"/>
    <w:rsid w:val="005429D1"/>
    <w:rsid w:val="005458A1"/>
    <w:rsid w:val="00545E08"/>
    <w:rsid w:val="005469F8"/>
    <w:rsid w:val="00547296"/>
    <w:rsid w:val="00547D5D"/>
    <w:rsid w:val="00547FEB"/>
    <w:rsid w:val="005511E0"/>
    <w:rsid w:val="00551730"/>
    <w:rsid w:val="005523B5"/>
    <w:rsid w:val="00552D13"/>
    <w:rsid w:val="00553893"/>
    <w:rsid w:val="0055415D"/>
    <w:rsid w:val="00555AC7"/>
    <w:rsid w:val="005575AA"/>
    <w:rsid w:val="005610DB"/>
    <w:rsid w:val="00561764"/>
    <w:rsid w:val="0056179B"/>
    <w:rsid w:val="00561E85"/>
    <w:rsid w:val="00561FEE"/>
    <w:rsid w:val="005641AE"/>
    <w:rsid w:val="005641B8"/>
    <w:rsid w:val="00564392"/>
    <w:rsid w:val="0056478B"/>
    <w:rsid w:val="0056503F"/>
    <w:rsid w:val="00565CA9"/>
    <w:rsid w:val="00570744"/>
    <w:rsid w:val="005720BD"/>
    <w:rsid w:val="00572581"/>
    <w:rsid w:val="00572804"/>
    <w:rsid w:val="005738A8"/>
    <w:rsid w:val="00573F93"/>
    <w:rsid w:val="00576207"/>
    <w:rsid w:val="0057633B"/>
    <w:rsid w:val="00576EA4"/>
    <w:rsid w:val="00580005"/>
    <w:rsid w:val="00582265"/>
    <w:rsid w:val="00582D46"/>
    <w:rsid w:val="00584407"/>
    <w:rsid w:val="00585A34"/>
    <w:rsid w:val="00587124"/>
    <w:rsid w:val="00590292"/>
    <w:rsid w:val="00591111"/>
    <w:rsid w:val="00593FF8"/>
    <w:rsid w:val="00594C8D"/>
    <w:rsid w:val="005A0018"/>
    <w:rsid w:val="005A2308"/>
    <w:rsid w:val="005A3383"/>
    <w:rsid w:val="005A3579"/>
    <w:rsid w:val="005A49EF"/>
    <w:rsid w:val="005A63BE"/>
    <w:rsid w:val="005A6C8E"/>
    <w:rsid w:val="005A7753"/>
    <w:rsid w:val="005B01F9"/>
    <w:rsid w:val="005B0B44"/>
    <w:rsid w:val="005B0C11"/>
    <w:rsid w:val="005B15C8"/>
    <w:rsid w:val="005B2317"/>
    <w:rsid w:val="005B3090"/>
    <w:rsid w:val="005B48E5"/>
    <w:rsid w:val="005B4E33"/>
    <w:rsid w:val="005B7FAD"/>
    <w:rsid w:val="005C17D1"/>
    <w:rsid w:val="005C1AAC"/>
    <w:rsid w:val="005C2AEB"/>
    <w:rsid w:val="005C3160"/>
    <w:rsid w:val="005C4B59"/>
    <w:rsid w:val="005C5B68"/>
    <w:rsid w:val="005D0705"/>
    <w:rsid w:val="005D07CD"/>
    <w:rsid w:val="005D166A"/>
    <w:rsid w:val="005D2013"/>
    <w:rsid w:val="005D2CD0"/>
    <w:rsid w:val="005D381E"/>
    <w:rsid w:val="005D3923"/>
    <w:rsid w:val="005D3B0E"/>
    <w:rsid w:val="005D73AF"/>
    <w:rsid w:val="005D7637"/>
    <w:rsid w:val="005E0D7B"/>
    <w:rsid w:val="005E0E1D"/>
    <w:rsid w:val="005E1085"/>
    <w:rsid w:val="005E163F"/>
    <w:rsid w:val="005E2051"/>
    <w:rsid w:val="005E406E"/>
    <w:rsid w:val="005E55C2"/>
    <w:rsid w:val="005E5933"/>
    <w:rsid w:val="005E67E0"/>
    <w:rsid w:val="005E6E89"/>
    <w:rsid w:val="005E7EF5"/>
    <w:rsid w:val="005F27BD"/>
    <w:rsid w:val="005F40C0"/>
    <w:rsid w:val="005F455A"/>
    <w:rsid w:val="005F4F5F"/>
    <w:rsid w:val="005F5153"/>
    <w:rsid w:val="005F66DE"/>
    <w:rsid w:val="005F733D"/>
    <w:rsid w:val="00601165"/>
    <w:rsid w:val="00602172"/>
    <w:rsid w:val="006027FE"/>
    <w:rsid w:val="00603BC0"/>
    <w:rsid w:val="00603DFE"/>
    <w:rsid w:val="00604C9A"/>
    <w:rsid w:val="00607589"/>
    <w:rsid w:val="0061068D"/>
    <w:rsid w:val="0061177E"/>
    <w:rsid w:val="00611857"/>
    <w:rsid w:val="006119F5"/>
    <w:rsid w:val="0061203F"/>
    <w:rsid w:val="0061218B"/>
    <w:rsid w:val="0061396A"/>
    <w:rsid w:val="00615C8C"/>
    <w:rsid w:val="006162D6"/>
    <w:rsid w:val="00622D48"/>
    <w:rsid w:val="00623C8F"/>
    <w:rsid w:val="0062439C"/>
    <w:rsid w:val="00625381"/>
    <w:rsid w:val="006262CC"/>
    <w:rsid w:val="00627A05"/>
    <w:rsid w:val="00631FD0"/>
    <w:rsid w:val="00632199"/>
    <w:rsid w:val="0063263A"/>
    <w:rsid w:val="00640C30"/>
    <w:rsid w:val="00642888"/>
    <w:rsid w:val="006444BE"/>
    <w:rsid w:val="00644510"/>
    <w:rsid w:val="0064698C"/>
    <w:rsid w:val="00646CD1"/>
    <w:rsid w:val="0065021A"/>
    <w:rsid w:val="006512F6"/>
    <w:rsid w:val="00652C2D"/>
    <w:rsid w:val="00654058"/>
    <w:rsid w:val="00655570"/>
    <w:rsid w:val="00655717"/>
    <w:rsid w:val="00655B9E"/>
    <w:rsid w:val="006573E6"/>
    <w:rsid w:val="00660EF7"/>
    <w:rsid w:val="00662B91"/>
    <w:rsid w:val="00664769"/>
    <w:rsid w:val="00664C0B"/>
    <w:rsid w:val="00666CA4"/>
    <w:rsid w:val="00670DC5"/>
    <w:rsid w:val="00670FBD"/>
    <w:rsid w:val="00674086"/>
    <w:rsid w:val="00675EEB"/>
    <w:rsid w:val="0067619E"/>
    <w:rsid w:val="006771CD"/>
    <w:rsid w:val="00677303"/>
    <w:rsid w:val="00677898"/>
    <w:rsid w:val="00677C44"/>
    <w:rsid w:val="0068017C"/>
    <w:rsid w:val="006840C4"/>
    <w:rsid w:val="00684C0A"/>
    <w:rsid w:val="006851D6"/>
    <w:rsid w:val="006878AB"/>
    <w:rsid w:val="00690407"/>
    <w:rsid w:val="00690E6B"/>
    <w:rsid w:val="00691109"/>
    <w:rsid w:val="0069294E"/>
    <w:rsid w:val="00693565"/>
    <w:rsid w:val="00696D3D"/>
    <w:rsid w:val="00697495"/>
    <w:rsid w:val="00697EE6"/>
    <w:rsid w:val="006A01D3"/>
    <w:rsid w:val="006A0E75"/>
    <w:rsid w:val="006A11DB"/>
    <w:rsid w:val="006A1AD0"/>
    <w:rsid w:val="006A1FF5"/>
    <w:rsid w:val="006A2DF4"/>
    <w:rsid w:val="006A32A7"/>
    <w:rsid w:val="006A32F5"/>
    <w:rsid w:val="006A36EF"/>
    <w:rsid w:val="006A7014"/>
    <w:rsid w:val="006B1311"/>
    <w:rsid w:val="006B3062"/>
    <w:rsid w:val="006B4A0B"/>
    <w:rsid w:val="006B51A7"/>
    <w:rsid w:val="006B5451"/>
    <w:rsid w:val="006B547E"/>
    <w:rsid w:val="006B59D8"/>
    <w:rsid w:val="006B6065"/>
    <w:rsid w:val="006B6D6C"/>
    <w:rsid w:val="006B7ED2"/>
    <w:rsid w:val="006C0814"/>
    <w:rsid w:val="006C53CE"/>
    <w:rsid w:val="006C6ED6"/>
    <w:rsid w:val="006C7344"/>
    <w:rsid w:val="006D048B"/>
    <w:rsid w:val="006D0D5C"/>
    <w:rsid w:val="006D1555"/>
    <w:rsid w:val="006D3E0F"/>
    <w:rsid w:val="006D47CE"/>
    <w:rsid w:val="006D49EB"/>
    <w:rsid w:val="006D514D"/>
    <w:rsid w:val="006D647A"/>
    <w:rsid w:val="006E0DD2"/>
    <w:rsid w:val="006E0F03"/>
    <w:rsid w:val="006E250D"/>
    <w:rsid w:val="006E2E78"/>
    <w:rsid w:val="006E3AA0"/>
    <w:rsid w:val="006E4876"/>
    <w:rsid w:val="006E4B2E"/>
    <w:rsid w:val="006E50C1"/>
    <w:rsid w:val="006E559E"/>
    <w:rsid w:val="006E6CAF"/>
    <w:rsid w:val="006E6CCD"/>
    <w:rsid w:val="006E6D1C"/>
    <w:rsid w:val="006E7025"/>
    <w:rsid w:val="006F1153"/>
    <w:rsid w:val="006F231B"/>
    <w:rsid w:val="006F2790"/>
    <w:rsid w:val="006F2C72"/>
    <w:rsid w:val="006F2D0C"/>
    <w:rsid w:val="006F3B62"/>
    <w:rsid w:val="006F46CD"/>
    <w:rsid w:val="006F4BA0"/>
    <w:rsid w:val="006F4C9E"/>
    <w:rsid w:val="006F6661"/>
    <w:rsid w:val="006F7736"/>
    <w:rsid w:val="00700AB0"/>
    <w:rsid w:val="00701287"/>
    <w:rsid w:val="00701E35"/>
    <w:rsid w:val="007025AF"/>
    <w:rsid w:val="0070263A"/>
    <w:rsid w:val="00702B48"/>
    <w:rsid w:val="00702F52"/>
    <w:rsid w:val="00703697"/>
    <w:rsid w:val="00704845"/>
    <w:rsid w:val="00704E15"/>
    <w:rsid w:val="00705DDC"/>
    <w:rsid w:val="00706EEC"/>
    <w:rsid w:val="007071E9"/>
    <w:rsid w:val="00710CCF"/>
    <w:rsid w:val="0071103E"/>
    <w:rsid w:val="007123EC"/>
    <w:rsid w:val="007128D3"/>
    <w:rsid w:val="007142AC"/>
    <w:rsid w:val="00714FC8"/>
    <w:rsid w:val="00715D23"/>
    <w:rsid w:val="007163F7"/>
    <w:rsid w:val="00716C2E"/>
    <w:rsid w:val="00720F67"/>
    <w:rsid w:val="007219EB"/>
    <w:rsid w:val="00723988"/>
    <w:rsid w:val="00723B6D"/>
    <w:rsid w:val="00724897"/>
    <w:rsid w:val="00724913"/>
    <w:rsid w:val="007257FE"/>
    <w:rsid w:val="00727178"/>
    <w:rsid w:val="00727F99"/>
    <w:rsid w:val="00730235"/>
    <w:rsid w:val="007304AC"/>
    <w:rsid w:val="00730875"/>
    <w:rsid w:val="00731F2D"/>
    <w:rsid w:val="007321B3"/>
    <w:rsid w:val="00732C25"/>
    <w:rsid w:val="007339FE"/>
    <w:rsid w:val="00734974"/>
    <w:rsid w:val="0073701C"/>
    <w:rsid w:val="007371B7"/>
    <w:rsid w:val="00737747"/>
    <w:rsid w:val="00740401"/>
    <w:rsid w:val="007413A5"/>
    <w:rsid w:val="00741512"/>
    <w:rsid w:val="0074172C"/>
    <w:rsid w:val="00741E45"/>
    <w:rsid w:val="00742905"/>
    <w:rsid w:val="0074465A"/>
    <w:rsid w:val="00746059"/>
    <w:rsid w:val="00746191"/>
    <w:rsid w:val="0074647D"/>
    <w:rsid w:val="00746675"/>
    <w:rsid w:val="007476A6"/>
    <w:rsid w:val="00747B78"/>
    <w:rsid w:val="007500D7"/>
    <w:rsid w:val="007510D5"/>
    <w:rsid w:val="0075308E"/>
    <w:rsid w:val="0075328F"/>
    <w:rsid w:val="00753487"/>
    <w:rsid w:val="007547CA"/>
    <w:rsid w:val="00755254"/>
    <w:rsid w:val="00755696"/>
    <w:rsid w:val="00756610"/>
    <w:rsid w:val="0075724F"/>
    <w:rsid w:val="0076031B"/>
    <w:rsid w:val="00762404"/>
    <w:rsid w:val="007625AB"/>
    <w:rsid w:val="00765715"/>
    <w:rsid w:val="007662B3"/>
    <w:rsid w:val="007704AF"/>
    <w:rsid w:val="007714D2"/>
    <w:rsid w:val="007716E1"/>
    <w:rsid w:val="00773689"/>
    <w:rsid w:val="007749C1"/>
    <w:rsid w:val="00774B4E"/>
    <w:rsid w:val="00776218"/>
    <w:rsid w:val="00776B10"/>
    <w:rsid w:val="00781058"/>
    <w:rsid w:val="00781381"/>
    <w:rsid w:val="007816B0"/>
    <w:rsid w:val="00782622"/>
    <w:rsid w:val="007833FE"/>
    <w:rsid w:val="00783A9E"/>
    <w:rsid w:val="007869D3"/>
    <w:rsid w:val="00786B72"/>
    <w:rsid w:val="00791037"/>
    <w:rsid w:val="00794C61"/>
    <w:rsid w:val="00796623"/>
    <w:rsid w:val="00797013"/>
    <w:rsid w:val="00797288"/>
    <w:rsid w:val="007A15F4"/>
    <w:rsid w:val="007A6AE1"/>
    <w:rsid w:val="007A7ABB"/>
    <w:rsid w:val="007B108E"/>
    <w:rsid w:val="007B2205"/>
    <w:rsid w:val="007B2645"/>
    <w:rsid w:val="007B2FB4"/>
    <w:rsid w:val="007B3287"/>
    <w:rsid w:val="007B445B"/>
    <w:rsid w:val="007B5FFF"/>
    <w:rsid w:val="007B665B"/>
    <w:rsid w:val="007B67E1"/>
    <w:rsid w:val="007C17C6"/>
    <w:rsid w:val="007C208E"/>
    <w:rsid w:val="007C217F"/>
    <w:rsid w:val="007C284A"/>
    <w:rsid w:val="007C2E16"/>
    <w:rsid w:val="007C380E"/>
    <w:rsid w:val="007C3CA7"/>
    <w:rsid w:val="007C473F"/>
    <w:rsid w:val="007C4EB8"/>
    <w:rsid w:val="007D2054"/>
    <w:rsid w:val="007D258D"/>
    <w:rsid w:val="007D38B1"/>
    <w:rsid w:val="007D3AD3"/>
    <w:rsid w:val="007D536B"/>
    <w:rsid w:val="007D6881"/>
    <w:rsid w:val="007D7641"/>
    <w:rsid w:val="007D7795"/>
    <w:rsid w:val="007E0252"/>
    <w:rsid w:val="007E04B3"/>
    <w:rsid w:val="007E0F17"/>
    <w:rsid w:val="007E122C"/>
    <w:rsid w:val="007E2558"/>
    <w:rsid w:val="007E4C7D"/>
    <w:rsid w:val="007E63AB"/>
    <w:rsid w:val="007E667C"/>
    <w:rsid w:val="007E69C5"/>
    <w:rsid w:val="007E6DB8"/>
    <w:rsid w:val="007F03B6"/>
    <w:rsid w:val="007F1516"/>
    <w:rsid w:val="007F51CF"/>
    <w:rsid w:val="007F54C0"/>
    <w:rsid w:val="007F58FA"/>
    <w:rsid w:val="007F65E1"/>
    <w:rsid w:val="007F6B04"/>
    <w:rsid w:val="007F7163"/>
    <w:rsid w:val="00800677"/>
    <w:rsid w:val="00801077"/>
    <w:rsid w:val="00802022"/>
    <w:rsid w:val="0080264D"/>
    <w:rsid w:val="00802F61"/>
    <w:rsid w:val="00803B7D"/>
    <w:rsid w:val="0080531B"/>
    <w:rsid w:val="00805950"/>
    <w:rsid w:val="00805D7B"/>
    <w:rsid w:val="00806E89"/>
    <w:rsid w:val="00810AD1"/>
    <w:rsid w:val="00810F4E"/>
    <w:rsid w:val="00811973"/>
    <w:rsid w:val="008119D0"/>
    <w:rsid w:val="008125D0"/>
    <w:rsid w:val="00812DCE"/>
    <w:rsid w:val="00812EFB"/>
    <w:rsid w:val="00813CAD"/>
    <w:rsid w:val="008140D2"/>
    <w:rsid w:val="00814D9F"/>
    <w:rsid w:val="00815B24"/>
    <w:rsid w:val="00815B83"/>
    <w:rsid w:val="00816366"/>
    <w:rsid w:val="008172AC"/>
    <w:rsid w:val="00817930"/>
    <w:rsid w:val="008209B1"/>
    <w:rsid w:val="0082279E"/>
    <w:rsid w:val="00822F64"/>
    <w:rsid w:val="00823A5D"/>
    <w:rsid w:val="00825B9B"/>
    <w:rsid w:val="00825F7B"/>
    <w:rsid w:val="008265E1"/>
    <w:rsid w:val="00826A8A"/>
    <w:rsid w:val="0083058D"/>
    <w:rsid w:val="00830E3D"/>
    <w:rsid w:val="00831806"/>
    <w:rsid w:val="00831CC0"/>
    <w:rsid w:val="0083228B"/>
    <w:rsid w:val="008323E9"/>
    <w:rsid w:val="00832A17"/>
    <w:rsid w:val="008333D7"/>
    <w:rsid w:val="008335CA"/>
    <w:rsid w:val="00835BBE"/>
    <w:rsid w:val="00836DCA"/>
    <w:rsid w:val="008378FD"/>
    <w:rsid w:val="00841565"/>
    <w:rsid w:val="00841B1C"/>
    <w:rsid w:val="0084247C"/>
    <w:rsid w:val="008433CB"/>
    <w:rsid w:val="00843821"/>
    <w:rsid w:val="00843C19"/>
    <w:rsid w:val="00843C24"/>
    <w:rsid w:val="00843F08"/>
    <w:rsid w:val="00843F7A"/>
    <w:rsid w:val="0084427B"/>
    <w:rsid w:val="00845398"/>
    <w:rsid w:val="008466D5"/>
    <w:rsid w:val="0084773A"/>
    <w:rsid w:val="008478B8"/>
    <w:rsid w:val="00850371"/>
    <w:rsid w:val="0085092E"/>
    <w:rsid w:val="00851D04"/>
    <w:rsid w:val="00852DCB"/>
    <w:rsid w:val="00852F01"/>
    <w:rsid w:val="00854898"/>
    <w:rsid w:val="00854BE3"/>
    <w:rsid w:val="008559A9"/>
    <w:rsid w:val="008568BB"/>
    <w:rsid w:val="00861107"/>
    <w:rsid w:val="0086570F"/>
    <w:rsid w:val="00866452"/>
    <w:rsid w:val="00867138"/>
    <w:rsid w:val="00867239"/>
    <w:rsid w:val="008678E9"/>
    <w:rsid w:val="0087499B"/>
    <w:rsid w:val="00881318"/>
    <w:rsid w:val="00882F9E"/>
    <w:rsid w:val="008838BD"/>
    <w:rsid w:val="0088497F"/>
    <w:rsid w:val="00884FC8"/>
    <w:rsid w:val="008904C8"/>
    <w:rsid w:val="00890E6F"/>
    <w:rsid w:val="008911AC"/>
    <w:rsid w:val="0089277B"/>
    <w:rsid w:val="00893F89"/>
    <w:rsid w:val="008949A0"/>
    <w:rsid w:val="0089550B"/>
    <w:rsid w:val="00895CA4"/>
    <w:rsid w:val="00897CFC"/>
    <w:rsid w:val="008A026F"/>
    <w:rsid w:val="008A2DB3"/>
    <w:rsid w:val="008A33B9"/>
    <w:rsid w:val="008A4091"/>
    <w:rsid w:val="008A5032"/>
    <w:rsid w:val="008A5238"/>
    <w:rsid w:val="008B08A6"/>
    <w:rsid w:val="008B1202"/>
    <w:rsid w:val="008B2B95"/>
    <w:rsid w:val="008B35D2"/>
    <w:rsid w:val="008B47D7"/>
    <w:rsid w:val="008B6087"/>
    <w:rsid w:val="008B7298"/>
    <w:rsid w:val="008C166B"/>
    <w:rsid w:val="008C3816"/>
    <w:rsid w:val="008C38AA"/>
    <w:rsid w:val="008C4C43"/>
    <w:rsid w:val="008C61AA"/>
    <w:rsid w:val="008C6A70"/>
    <w:rsid w:val="008D0C47"/>
    <w:rsid w:val="008D17C6"/>
    <w:rsid w:val="008D1E41"/>
    <w:rsid w:val="008D1F3D"/>
    <w:rsid w:val="008D2F66"/>
    <w:rsid w:val="008D30D2"/>
    <w:rsid w:val="008D3C67"/>
    <w:rsid w:val="008D5A0F"/>
    <w:rsid w:val="008D66C4"/>
    <w:rsid w:val="008D6BF8"/>
    <w:rsid w:val="008D7412"/>
    <w:rsid w:val="008E0545"/>
    <w:rsid w:val="008E1EC5"/>
    <w:rsid w:val="008E2B2C"/>
    <w:rsid w:val="008E39F9"/>
    <w:rsid w:val="008E4CC7"/>
    <w:rsid w:val="008E5D24"/>
    <w:rsid w:val="008E6834"/>
    <w:rsid w:val="008E76CD"/>
    <w:rsid w:val="008F0DFA"/>
    <w:rsid w:val="008F1E82"/>
    <w:rsid w:val="008F28F2"/>
    <w:rsid w:val="008F2EF9"/>
    <w:rsid w:val="008F3952"/>
    <w:rsid w:val="008F5464"/>
    <w:rsid w:val="008F623A"/>
    <w:rsid w:val="008F692E"/>
    <w:rsid w:val="008F73E3"/>
    <w:rsid w:val="008F749F"/>
    <w:rsid w:val="00902C12"/>
    <w:rsid w:val="00903683"/>
    <w:rsid w:val="009052AF"/>
    <w:rsid w:val="0090674F"/>
    <w:rsid w:val="009078DD"/>
    <w:rsid w:val="00910337"/>
    <w:rsid w:val="009126CC"/>
    <w:rsid w:val="00915FED"/>
    <w:rsid w:val="00917655"/>
    <w:rsid w:val="00920195"/>
    <w:rsid w:val="0092190A"/>
    <w:rsid w:val="00921E50"/>
    <w:rsid w:val="00925149"/>
    <w:rsid w:val="009260C9"/>
    <w:rsid w:val="009305A2"/>
    <w:rsid w:val="00930A0A"/>
    <w:rsid w:val="009312FF"/>
    <w:rsid w:val="00932E8E"/>
    <w:rsid w:val="00933682"/>
    <w:rsid w:val="00934376"/>
    <w:rsid w:val="00934590"/>
    <w:rsid w:val="00934F33"/>
    <w:rsid w:val="00934F6F"/>
    <w:rsid w:val="00935D58"/>
    <w:rsid w:val="00937686"/>
    <w:rsid w:val="009402FC"/>
    <w:rsid w:val="009403CA"/>
    <w:rsid w:val="00940EA5"/>
    <w:rsid w:val="00941AB8"/>
    <w:rsid w:val="00943F16"/>
    <w:rsid w:val="009445ED"/>
    <w:rsid w:val="009454D0"/>
    <w:rsid w:val="00945F5F"/>
    <w:rsid w:val="009461DA"/>
    <w:rsid w:val="00946426"/>
    <w:rsid w:val="00951AF4"/>
    <w:rsid w:val="0095250C"/>
    <w:rsid w:val="00952BE3"/>
    <w:rsid w:val="009530CA"/>
    <w:rsid w:val="00953E87"/>
    <w:rsid w:val="00954160"/>
    <w:rsid w:val="00954CC2"/>
    <w:rsid w:val="00955D13"/>
    <w:rsid w:val="00957F53"/>
    <w:rsid w:val="0096129C"/>
    <w:rsid w:val="009618D1"/>
    <w:rsid w:val="00961996"/>
    <w:rsid w:val="0096211C"/>
    <w:rsid w:val="009628B0"/>
    <w:rsid w:val="00962A01"/>
    <w:rsid w:val="00962C35"/>
    <w:rsid w:val="00963B64"/>
    <w:rsid w:val="00964165"/>
    <w:rsid w:val="0096520A"/>
    <w:rsid w:val="00965481"/>
    <w:rsid w:val="00965F30"/>
    <w:rsid w:val="00970076"/>
    <w:rsid w:val="00970EA9"/>
    <w:rsid w:val="0097241B"/>
    <w:rsid w:val="0097339E"/>
    <w:rsid w:val="00974076"/>
    <w:rsid w:val="00974551"/>
    <w:rsid w:val="009748D0"/>
    <w:rsid w:val="00974C81"/>
    <w:rsid w:val="00974E34"/>
    <w:rsid w:val="00975113"/>
    <w:rsid w:val="00977389"/>
    <w:rsid w:val="00977A8E"/>
    <w:rsid w:val="00981CD9"/>
    <w:rsid w:val="009820D4"/>
    <w:rsid w:val="009821A6"/>
    <w:rsid w:val="00985580"/>
    <w:rsid w:val="00987592"/>
    <w:rsid w:val="00987722"/>
    <w:rsid w:val="00991282"/>
    <w:rsid w:val="00991A57"/>
    <w:rsid w:val="00993293"/>
    <w:rsid w:val="009935C3"/>
    <w:rsid w:val="0099453C"/>
    <w:rsid w:val="00994BC4"/>
    <w:rsid w:val="00994BF7"/>
    <w:rsid w:val="00996B73"/>
    <w:rsid w:val="009A00FF"/>
    <w:rsid w:val="009A0802"/>
    <w:rsid w:val="009A268B"/>
    <w:rsid w:val="009A3BF8"/>
    <w:rsid w:val="009A415A"/>
    <w:rsid w:val="009A5E4B"/>
    <w:rsid w:val="009A7FF5"/>
    <w:rsid w:val="009B44BD"/>
    <w:rsid w:val="009B46BA"/>
    <w:rsid w:val="009B69EA"/>
    <w:rsid w:val="009B6C67"/>
    <w:rsid w:val="009B6F5C"/>
    <w:rsid w:val="009B7853"/>
    <w:rsid w:val="009B798B"/>
    <w:rsid w:val="009C08AC"/>
    <w:rsid w:val="009C112C"/>
    <w:rsid w:val="009C139C"/>
    <w:rsid w:val="009C2322"/>
    <w:rsid w:val="009C2A79"/>
    <w:rsid w:val="009C35F0"/>
    <w:rsid w:val="009C5CC8"/>
    <w:rsid w:val="009D1E16"/>
    <w:rsid w:val="009D32D4"/>
    <w:rsid w:val="009D3548"/>
    <w:rsid w:val="009D3949"/>
    <w:rsid w:val="009D3A31"/>
    <w:rsid w:val="009D4BB1"/>
    <w:rsid w:val="009D531B"/>
    <w:rsid w:val="009D609B"/>
    <w:rsid w:val="009D6A5A"/>
    <w:rsid w:val="009D7119"/>
    <w:rsid w:val="009E1644"/>
    <w:rsid w:val="009E1F57"/>
    <w:rsid w:val="009E61C1"/>
    <w:rsid w:val="009E6AA9"/>
    <w:rsid w:val="009F0DA7"/>
    <w:rsid w:val="009F111F"/>
    <w:rsid w:val="009F1179"/>
    <w:rsid w:val="009F2658"/>
    <w:rsid w:val="009F40DB"/>
    <w:rsid w:val="009F4DE4"/>
    <w:rsid w:val="009F6ADC"/>
    <w:rsid w:val="009F7E3A"/>
    <w:rsid w:val="009F7E83"/>
    <w:rsid w:val="00A0006C"/>
    <w:rsid w:val="00A00B56"/>
    <w:rsid w:val="00A00ED3"/>
    <w:rsid w:val="00A0104C"/>
    <w:rsid w:val="00A0255D"/>
    <w:rsid w:val="00A02D3D"/>
    <w:rsid w:val="00A0395E"/>
    <w:rsid w:val="00A051FE"/>
    <w:rsid w:val="00A056A6"/>
    <w:rsid w:val="00A0686C"/>
    <w:rsid w:val="00A07F07"/>
    <w:rsid w:val="00A10937"/>
    <w:rsid w:val="00A119D2"/>
    <w:rsid w:val="00A120CD"/>
    <w:rsid w:val="00A12B25"/>
    <w:rsid w:val="00A13ABA"/>
    <w:rsid w:val="00A15186"/>
    <w:rsid w:val="00A205A5"/>
    <w:rsid w:val="00A20C3C"/>
    <w:rsid w:val="00A2169C"/>
    <w:rsid w:val="00A23147"/>
    <w:rsid w:val="00A23858"/>
    <w:rsid w:val="00A2490A"/>
    <w:rsid w:val="00A25569"/>
    <w:rsid w:val="00A25723"/>
    <w:rsid w:val="00A25AE7"/>
    <w:rsid w:val="00A260A9"/>
    <w:rsid w:val="00A300BB"/>
    <w:rsid w:val="00A317E8"/>
    <w:rsid w:val="00A3192A"/>
    <w:rsid w:val="00A32379"/>
    <w:rsid w:val="00A3641D"/>
    <w:rsid w:val="00A369F7"/>
    <w:rsid w:val="00A36CC1"/>
    <w:rsid w:val="00A370D9"/>
    <w:rsid w:val="00A43F1A"/>
    <w:rsid w:val="00A443F9"/>
    <w:rsid w:val="00A45AB0"/>
    <w:rsid w:val="00A46205"/>
    <w:rsid w:val="00A4671C"/>
    <w:rsid w:val="00A46AD2"/>
    <w:rsid w:val="00A47936"/>
    <w:rsid w:val="00A5153A"/>
    <w:rsid w:val="00A52337"/>
    <w:rsid w:val="00A523CC"/>
    <w:rsid w:val="00A52A9E"/>
    <w:rsid w:val="00A543AA"/>
    <w:rsid w:val="00A54B9B"/>
    <w:rsid w:val="00A54CFB"/>
    <w:rsid w:val="00A55C5F"/>
    <w:rsid w:val="00A570C2"/>
    <w:rsid w:val="00A602A2"/>
    <w:rsid w:val="00A60819"/>
    <w:rsid w:val="00A60995"/>
    <w:rsid w:val="00A60A98"/>
    <w:rsid w:val="00A60DD3"/>
    <w:rsid w:val="00A62B71"/>
    <w:rsid w:val="00A62EC7"/>
    <w:rsid w:val="00A6558A"/>
    <w:rsid w:val="00A65DE1"/>
    <w:rsid w:val="00A7005D"/>
    <w:rsid w:val="00A70CB2"/>
    <w:rsid w:val="00A72913"/>
    <w:rsid w:val="00A7298B"/>
    <w:rsid w:val="00A72D20"/>
    <w:rsid w:val="00A73BD3"/>
    <w:rsid w:val="00A74F1A"/>
    <w:rsid w:val="00A757A7"/>
    <w:rsid w:val="00A764B6"/>
    <w:rsid w:val="00A7667B"/>
    <w:rsid w:val="00A770F1"/>
    <w:rsid w:val="00A801B9"/>
    <w:rsid w:val="00A81124"/>
    <w:rsid w:val="00A81DF4"/>
    <w:rsid w:val="00A85148"/>
    <w:rsid w:val="00A85897"/>
    <w:rsid w:val="00A90A0A"/>
    <w:rsid w:val="00A91D3E"/>
    <w:rsid w:val="00A94C59"/>
    <w:rsid w:val="00A94FDC"/>
    <w:rsid w:val="00A954A8"/>
    <w:rsid w:val="00AA0430"/>
    <w:rsid w:val="00AA0F0C"/>
    <w:rsid w:val="00AA15F0"/>
    <w:rsid w:val="00AA1B7D"/>
    <w:rsid w:val="00AA2AAF"/>
    <w:rsid w:val="00AA37BE"/>
    <w:rsid w:val="00AA3D06"/>
    <w:rsid w:val="00AA439B"/>
    <w:rsid w:val="00AA4439"/>
    <w:rsid w:val="00AA5DA0"/>
    <w:rsid w:val="00AA6B60"/>
    <w:rsid w:val="00AA6C34"/>
    <w:rsid w:val="00AA6C9B"/>
    <w:rsid w:val="00AB025B"/>
    <w:rsid w:val="00AB1B04"/>
    <w:rsid w:val="00AB22CD"/>
    <w:rsid w:val="00AB4AB1"/>
    <w:rsid w:val="00AB5333"/>
    <w:rsid w:val="00AB558A"/>
    <w:rsid w:val="00AB5DC4"/>
    <w:rsid w:val="00AB7F5C"/>
    <w:rsid w:val="00AC2469"/>
    <w:rsid w:val="00AC2807"/>
    <w:rsid w:val="00AC42FD"/>
    <w:rsid w:val="00AC44C4"/>
    <w:rsid w:val="00AC46C1"/>
    <w:rsid w:val="00AC4E9C"/>
    <w:rsid w:val="00AC52B2"/>
    <w:rsid w:val="00AC6367"/>
    <w:rsid w:val="00AD2E66"/>
    <w:rsid w:val="00AD5846"/>
    <w:rsid w:val="00AD5944"/>
    <w:rsid w:val="00AD66DF"/>
    <w:rsid w:val="00AD6C7E"/>
    <w:rsid w:val="00AE030B"/>
    <w:rsid w:val="00AE1108"/>
    <w:rsid w:val="00AE1E46"/>
    <w:rsid w:val="00AE318F"/>
    <w:rsid w:val="00AE6F89"/>
    <w:rsid w:val="00AE7237"/>
    <w:rsid w:val="00AE74C2"/>
    <w:rsid w:val="00AF1AB9"/>
    <w:rsid w:val="00AF2162"/>
    <w:rsid w:val="00AF3E5E"/>
    <w:rsid w:val="00AF48E2"/>
    <w:rsid w:val="00AF525A"/>
    <w:rsid w:val="00AF6393"/>
    <w:rsid w:val="00AF6F99"/>
    <w:rsid w:val="00AF74B5"/>
    <w:rsid w:val="00AF7B86"/>
    <w:rsid w:val="00AF7F28"/>
    <w:rsid w:val="00B01293"/>
    <w:rsid w:val="00B01B8F"/>
    <w:rsid w:val="00B028AA"/>
    <w:rsid w:val="00B02BCB"/>
    <w:rsid w:val="00B048DE"/>
    <w:rsid w:val="00B04995"/>
    <w:rsid w:val="00B05E2A"/>
    <w:rsid w:val="00B121B7"/>
    <w:rsid w:val="00B139F0"/>
    <w:rsid w:val="00B149F4"/>
    <w:rsid w:val="00B152F0"/>
    <w:rsid w:val="00B16269"/>
    <w:rsid w:val="00B169DA"/>
    <w:rsid w:val="00B171AE"/>
    <w:rsid w:val="00B17299"/>
    <w:rsid w:val="00B20902"/>
    <w:rsid w:val="00B2095B"/>
    <w:rsid w:val="00B22E89"/>
    <w:rsid w:val="00B240AE"/>
    <w:rsid w:val="00B308DA"/>
    <w:rsid w:val="00B30B93"/>
    <w:rsid w:val="00B32542"/>
    <w:rsid w:val="00B328AC"/>
    <w:rsid w:val="00B3407C"/>
    <w:rsid w:val="00B36833"/>
    <w:rsid w:val="00B36F8F"/>
    <w:rsid w:val="00B3717C"/>
    <w:rsid w:val="00B3789B"/>
    <w:rsid w:val="00B4100C"/>
    <w:rsid w:val="00B50939"/>
    <w:rsid w:val="00B51A6D"/>
    <w:rsid w:val="00B51C23"/>
    <w:rsid w:val="00B522BD"/>
    <w:rsid w:val="00B53B25"/>
    <w:rsid w:val="00B5528C"/>
    <w:rsid w:val="00B5741E"/>
    <w:rsid w:val="00B61082"/>
    <w:rsid w:val="00B614C3"/>
    <w:rsid w:val="00B61AE8"/>
    <w:rsid w:val="00B61E17"/>
    <w:rsid w:val="00B624AD"/>
    <w:rsid w:val="00B639D1"/>
    <w:rsid w:val="00B663B5"/>
    <w:rsid w:val="00B70AE1"/>
    <w:rsid w:val="00B70DA2"/>
    <w:rsid w:val="00B70EB1"/>
    <w:rsid w:val="00B72015"/>
    <w:rsid w:val="00B72FAB"/>
    <w:rsid w:val="00B73986"/>
    <w:rsid w:val="00B75807"/>
    <w:rsid w:val="00B75833"/>
    <w:rsid w:val="00B81017"/>
    <w:rsid w:val="00B81EBF"/>
    <w:rsid w:val="00B827C9"/>
    <w:rsid w:val="00B836FF"/>
    <w:rsid w:val="00B8554E"/>
    <w:rsid w:val="00B878FF"/>
    <w:rsid w:val="00B904CF"/>
    <w:rsid w:val="00B907D0"/>
    <w:rsid w:val="00B92FC8"/>
    <w:rsid w:val="00B93371"/>
    <w:rsid w:val="00B949C7"/>
    <w:rsid w:val="00B9650A"/>
    <w:rsid w:val="00B969FA"/>
    <w:rsid w:val="00B97957"/>
    <w:rsid w:val="00BA142F"/>
    <w:rsid w:val="00BA185C"/>
    <w:rsid w:val="00BA2105"/>
    <w:rsid w:val="00BA3E99"/>
    <w:rsid w:val="00BA45B5"/>
    <w:rsid w:val="00BA621E"/>
    <w:rsid w:val="00BB0617"/>
    <w:rsid w:val="00BB13DF"/>
    <w:rsid w:val="00BB2585"/>
    <w:rsid w:val="00BB4CAE"/>
    <w:rsid w:val="00BB64CF"/>
    <w:rsid w:val="00BB7055"/>
    <w:rsid w:val="00BB725B"/>
    <w:rsid w:val="00BC0D8E"/>
    <w:rsid w:val="00BC1467"/>
    <w:rsid w:val="00BC249E"/>
    <w:rsid w:val="00BC6921"/>
    <w:rsid w:val="00BD22A3"/>
    <w:rsid w:val="00BD295D"/>
    <w:rsid w:val="00BD2CC6"/>
    <w:rsid w:val="00BD312F"/>
    <w:rsid w:val="00BD3882"/>
    <w:rsid w:val="00BD5832"/>
    <w:rsid w:val="00BD5D17"/>
    <w:rsid w:val="00BD6C40"/>
    <w:rsid w:val="00BE0F0B"/>
    <w:rsid w:val="00BE104C"/>
    <w:rsid w:val="00BE2268"/>
    <w:rsid w:val="00BE3778"/>
    <w:rsid w:val="00BE5315"/>
    <w:rsid w:val="00BE5479"/>
    <w:rsid w:val="00BE7631"/>
    <w:rsid w:val="00BF0027"/>
    <w:rsid w:val="00BF2037"/>
    <w:rsid w:val="00BF2551"/>
    <w:rsid w:val="00BF3FBC"/>
    <w:rsid w:val="00BF44CC"/>
    <w:rsid w:val="00BF4584"/>
    <w:rsid w:val="00C02453"/>
    <w:rsid w:val="00C027C2"/>
    <w:rsid w:val="00C03794"/>
    <w:rsid w:val="00C03A1F"/>
    <w:rsid w:val="00C0562A"/>
    <w:rsid w:val="00C06CE3"/>
    <w:rsid w:val="00C07247"/>
    <w:rsid w:val="00C1208A"/>
    <w:rsid w:val="00C1304F"/>
    <w:rsid w:val="00C13A59"/>
    <w:rsid w:val="00C16394"/>
    <w:rsid w:val="00C16EDB"/>
    <w:rsid w:val="00C175DD"/>
    <w:rsid w:val="00C2282B"/>
    <w:rsid w:val="00C2324D"/>
    <w:rsid w:val="00C23A16"/>
    <w:rsid w:val="00C24010"/>
    <w:rsid w:val="00C24436"/>
    <w:rsid w:val="00C24537"/>
    <w:rsid w:val="00C2495E"/>
    <w:rsid w:val="00C25026"/>
    <w:rsid w:val="00C2545A"/>
    <w:rsid w:val="00C25FFB"/>
    <w:rsid w:val="00C302BC"/>
    <w:rsid w:val="00C30E0A"/>
    <w:rsid w:val="00C312A3"/>
    <w:rsid w:val="00C3221A"/>
    <w:rsid w:val="00C32441"/>
    <w:rsid w:val="00C32B93"/>
    <w:rsid w:val="00C335F4"/>
    <w:rsid w:val="00C3499D"/>
    <w:rsid w:val="00C34C50"/>
    <w:rsid w:val="00C3601B"/>
    <w:rsid w:val="00C40671"/>
    <w:rsid w:val="00C419F0"/>
    <w:rsid w:val="00C43E06"/>
    <w:rsid w:val="00C445EA"/>
    <w:rsid w:val="00C450D1"/>
    <w:rsid w:val="00C46176"/>
    <w:rsid w:val="00C474D2"/>
    <w:rsid w:val="00C479B2"/>
    <w:rsid w:val="00C50943"/>
    <w:rsid w:val="00C518E3"/>
    <w:rsid w:val="00C51B61"/>
    <w:rsid w:val="00C51F5C"/>
    <w:rsid w:val="00C539A7"/>
    <w:rsid w:val="00C53A27"/>
    <w:rsid w:val="00C53CA1"/>
    <w:rsid w:val="00C562B5"/>
    <w:rsid w:val="00C56817"/>
    <w:rsid w:val="00C577FF"/>
    <w:rsid w:val="00C61703"/>
    <w:rsid w:val="00C61E4B"/>
    <w:rsid w:val="00C625C9"/>
    <w:rsid w:val="00C64A6E"/>
    <w:rsid w:val="00C6582C"/>
    <w:rsid w:val="00C65CB5"/>
    <w:rsid w:val="00C70108"/>
    <w:rsid w:val="00C711CB"/>
    <w:rsid w:val="00C7188E"/>
    <w:rsid w:val="00C732B3"/>
    <w:rsid w:val="00C73A88"/>
    <w:rsid w:val="00C773F1"/>
    <w:rsid w:val="00C77C55"/>
    <w:rsid w:val="00C80196"/>
    <w:rsid w:val="00C80225"/>
    <w:rsid w:val="00C80354"/>
    <w:rsid w:val="00C81911"/>
    <w:rsid w:val="00C827D7"/>
    <w:rsid w:val="00C83375"/>
    <w:rsid w:val="00C85A1F"/>
    <w:rsid w:val="00C86C0D"/>
    <w:rsid w:val="00C86CC5"/>
    <w:rsid w:val="00C86E2D"/>
    <w:rsid w:val="00C90023"/>
    <w:rsid w:val="00C90A84"/>
    <w:rsid w:val="00C91627"/>
    <w:rsid w:val="00C927FA"/>
    <w:rsid w:val="00C929BC"/>
    <w:rsid w:val="00C93B58"/>
    <w:rsid w:val="00C93D85"/>
    <w:rsid w:val="00C94748"/>
    <w:rsid w:val="00C95AFD"/>
    <w:rsid w:val="00C97C28"/>
    <w:rsid w:val="00C97D63"/>
    <w:rsid w:val="00CA27CB"/>
    <w:rsid w:val="00CA2C14"/>
    <w:rsid w:val="00CA3309"/>
    <w:rsid w:val="00CA4619"/>
    <w:rsid w:val="00CA50AA"/>
    <w:rsid w:val="00CA56BA"/>
    <w:rsid w:val="00CA7205"/>
    <w:rsid w:val="00CB02E5"/>
    <w:rsid w:val="00CB12CA"/>
    <w:rsid w:val="00CB12F1"/>
    <w:rsid w:val="00CB401F"/>
    <w:rsid w:val="00CB657D"/>
    <w:rsid w:val="00CB6B19"/>
    <w:rsid w:val="00CB7419"/>
    <w:rsid w:val="00CC0BF4"/>
    <w:rsid w:val="00CC106B"/>
    <w:rsid w:val="00CC4BA8"/>
    <w:rsid w:val="00CC4E77"/>
    <w:rsid w:val="00CC4EE9"/>
    <w:rsid w:val="00CC6852"/>
    <w:rsid w:val="00CC6954"/>
    <w:rsid w:val="00CC6BF4"/>
    <w:rsid w:val="00CD3AAD"/>
    <w:rsid w:val="00CD4835"/>
    <w:rsid w:val="00CD6FC1"/>
    <w:rsid w:val="00CD71AD"/>
    <w:rsid w:val="00CD7BE8"/>
    <w:rsid w:val="00CE15F0"/>
    <w:rsid w:val="00CE2DCB"/>
    <w:rsid w:val="00CE4162"/>
    <w:rsid w:val="00CE4743"/>
    <w:rsid w:val="00CE6782"/>
    <w:rsid w:val="00CE6A22"/>
    <w:rsid w:val="00CE75A5"/>
    <w:rsid w:val="00CE75E9"/>
    <w:rsid w:val="00CE7947"/>
    <w:rsid w:val="00CF15F3"/>
    <w:rsid w:val="00CF23D7"/>
    <w:rsid w:val="00CF29BD"/>
    <w:rsid w:val="00CF4010"/>
    <w:rsid w:val="00CF44AD"/>
    <w:rsid w:val="00CF4F67"/>
    <w:rsid w:val="00CF64B4"/>
    <w:rsid w:val="00CF69AA"/>
    <w:rsid w:val="00D002C4"/>
    <w:rsid w:val="00D00B3E"/>
    <w:rsid w:val="00D025AE"/>
    <w:rsid w:val="00D0291A"/>
    <w:rsid w:val="00D02A18"/>
    <w:rsid w:val="00D0323C"/>
    <w:rsid w:val="00D05D73"/>
    <w:rsid w:val="00D07600"/>
    <w:rsid w:val="00D078E0"/>
    <w:rsid w:val="00D07F48"/>
    <w:rsid w:val="00D07F49"/>
    <w:rsid w:val="00D10486"/>
    <w:rsid w:val="00D13151"/>
    <w:rsid w:val="00D13226"/>
    <w:rsid w:val="00D13978"/>
    <w:rsid w:val="00D13D33"/>
    <w:rsid w:val="00D150B7"/>
    <w:rsid w:val="00D158ED"/>
    <w:rsid w:val="00D15DAF"/>
    <w:rsid w:val="00D162AA"/>
    <w:rsid w:val="00D16AB9"/>
    <w:rsid w:val="00D22600"/>
    <w:rsid w:val="00D22B61"/>
    <w:rsid w:val="00D22F2F"/>
    <w:rsid w:val="00D2486D"/>
    <w:rsid w:val="00D25C89"/>
    <w:rsid w:val="00D26131"/>
    <w:rsid w:val="00D30EEC"/>
    <w:rsid w:val="00D34325"/>
    <w:rsid w:val="00D350A8"/>
    <w:rsid w:val="00D369C2"/>
    <w:rsid w:val="00D370D9"/>
    <w:rsid w:val="00D4068D"/>
    <w:rsid w:val="00D418AC"/>
    <w:rsid w:val="00D43A74"/>
    <w:rsid w:val="00D440FC"/>
    <w:rsid w:val="00D45C60"/>
    <w:rsid w:val="00D45CD1"/>
    <w:rsid w:val="00D46012"/>
    <w:rsid w:val="00D460FB"/>
    <w:rsid w:val="00D46315"/>
    <w:rsid w:val="00D47126"/>
    <w:rsid w:val="00D502C4"/>
    <w:rsid w:val="00D5035E"/>
    <w:rsid w:val="00D51AE2"/>
    <w:rsid w:val="00D5488E"/>
    <w:rsid w:val="00D56AFE"/>
    <w:rsid w:val="00D56DB0"/>
    <w:rsid w:val="00D57427"/>
    <w:rsid w:val="00D57B27"/>
    <w:rsid w:val="00D611F7"/>
    <w:rsid w:val="00D61BBB"/>
    <w:rsid w:val="00D6215E"/>
    <w:rsid w:val="00D67979"/>
    <w:rsid w:val="00D714E8"/>
    <w:rsid w:val="00D719B1"/>
    <w:rsid w:val="00D73C46"/>
    <w:rsid w:val="00D74B72"/>
    <w:rsid w:val="00D74CBD"/>
    <w:rsid w:val="00D75F2B"/>
    <w:rsid w:val="00D76889"/>
    <w:rsid w:val="00D76F51"/>
    <w:rsid w:val="00D770E9"/>
    <w:rsid w:val="00D81E9A"/>
    <w:rsid w:val="00D821D5"/>
    <w:rsid w:val="00D847B5"/>
    <w:rsid w:val="00D87255"/>
    <w:rsid w:val="00D9077E"/>
    <w:rsid w:val="00D92A13"/>
    <w:rsid w:val="00D93268"/>
    <w:rsid w:val="00D93EE5"/>
    <w:rsid w:val="00D94F48"/>
    <w:rsid w:val="00D95489"/>
    <w:rsid w:val="00D95DF6"/>
    <w:rsid w:val="00D96770"/>
    <w:rsid w:val="00D97DE8"/>
    <w:rsid w:val="00D97EBE"/>
    <w:rsid w:val="00DA0C08"/>
    <w:rsid w:val="00DA12B1"/>
    <w:rsid w:val="00DA14A8"/>
    <w:rsid w:val="00DA2231"/>
    <w:rsid w:val="00DA2362"/>
    <w:rsid w:val="00DA6286"/>
    <w:rsid w:val="00DA7B4D"/>
    <w:rsid w:val="00DB06F8"/>
    <w:rsid w:val="00DB5119"/>
    <w:rsid w:val="00DB5888"/>
    <w:rsid w:val="00DB651C"/>
    <w:rsid w:val="00DB6546"/>
    <w:rsid w:val="00DB7A36"/>
    <w:rsid w:val="00DB8632"/>
    <w:rsid w:val="00DC1175"/>
    <w:rsid w:val="00DC3003"/>
    <w:rsid w:val="00DC3504"/>
    <w:rsid w:val="00DC6470"/>
    <w:rsid w:val="00DD096D"/>
    <w:rsid w:val="00DD1359"/>
    <w:rsid w:val="00DD1890"/>
    <w:rsid w:val="00DD1A8F"/>
    <w:rsid w:val="00DD1C63"/>
    <w:rsid w:val="00DD562C"/>
    <w:rsid w:val="00DD7043"/>
    <w:rsid w:val="00DD740B"/>
    <w:rsid w:val="00DE1C8B"/>
    <w:rsid w:val="00DE2187"/>
    <w:rsid w:val="00DE3046"/>
    <w:rsid w:val="00DE4065"/>
    <w:rsid w:val="00DE6889"/>
    <w:rsid w:val="00DF1412"/>
    <w:rsid w:val="00DF2E9C"/>
    <w:rsid w:val="00DF2EE2"/>
    <w:rsid w:val="00DF4432"/>
    <w:rsid w:val="00DF54CB"/>
    <w:rsid w:val="00DF61ED"/>
    <w:rsid w:val="00E0034D"/>
    <w:rsid w:val="00E0061D"/>
    <w:rsid w:val="00E00A38"/>
    <w:rsid w:val="00E01110"/>
    <w:rsid w:val="00E01CE7"/>
    <w:rsid w:val="00E023F5"/>
    <w:rsid w:val="00E031AC"/>
    <w:rsid w:val="00E038FA"/>
    <w:rsid w:val="00E057B9"/>
    <w:rsid w:val="00E072BC"/>
    <w:rsid w:val="00E12DAE"/>
    <w:rsid w:val="00E14E1D"/>
    <w:rsid w:val="00E1548C"/>
    <w:rsid w:val="00E1586C"/>
    <w:rsid w:val="00E17C13"/>
    <w:rsid w:val="00E212A6"/>
    <w:rsid w:val="00E21434"/>
    <w:rsid w:val="00E21F54"/>
    <w:rsid w:val="00E22485"/>
    <w:rsid w:val="00E2552A"/>
    <w:rsid w:val="00E2646C"/>
    <w:rsid w:val="00E26DFA"/>
    <w:rsid w:val="00E271D6"/>
    <w:rsid w:val="00E30128"/>
    <w:rsid w:val="00E30BAC"/>
    <w:rsid w:val="00E31B83"/>
    <w:rsid w:val="00E31FCE"/>
    <w:rsid w:val="00E32557"/>
    <w:rsid w:val="00E33105"/>
    <w:rsid w:val="00E3332B"/>
    <w:rsid w:val="00E33A62"/>
    <w:rsid w:val="00E419AC"/>
    <w:rsid w:val="00E41D9A"/>
    <w:rsid w:val="00E427D6"/>
    <w:rsid w:val="00E42EEF"/>
    <w:rsid w:val="00E42FFE"/>
    <w:rsid w:val="00E442E0"/>
    <w:rsid w:val="00E4489A"/>
    <w:rsid w:val="00E44B6F"/>
    <w:rsid w:val="00E46EFC"/>
    <w:rsid w:val="00E47FA3"/>
    <w:rsid w:val="00E50B60"/>
    <w:rsid w:val="00E50E81"/>
    <w:rsid w:val="00E5129C"/>
    <w:rsid w:val="00E51CA4"/>
    <w:rsid w:val="00E52CC8"/>
    <w:rsid w:val="00E56A41"/>
    <w:rsid w:val="00E573A7"/>
    <w:rsid w:val="00E61216"/>
    <w:rsid w:val="00E626B7"/>
    <w:rsid w:val="00E62B17"/>
    <w:rsid w:val="00E62FF2"/>
    <w:rsid w:val="00E635F7"/>
    <w:rsid w:val="00E64910"/>
    <w:rsid w:val="00E65909"/>
    <w:rsid w:val="00E67835"/>
    <w:rsid w:val="00E67C39"/>
    <w:rsid w:val="00E713AE"/>
    <w:rsid w:val="00E71601"/>
    <w:rsid w:val="00E72445"/>
    <w:rsid w:val="00E727B6"/>
    <w:rsid w:val="00E73889"/>
    <w:rsid w:val="00E7441C"/>
    <w:rsid w:val="00E74681"/>
    <w:rsid w:val="00E747E8"/>
    <w:rsid w:val="00E74D2D"/>
    <w:rsid w:val="00E752F3"/>
    <w:rsid w:val="00E754C8"/>
    <w:rsid w:val="00E75B87"/>
    <w:rsid w:val="00E81F24"/>
    <w:rsid w:val="00E8276C"/>
    <w:rsid w:val="00E82BB0"/>
    <w:rsid w:val="00E83F10"/>
    <w:rsid w:val="00E847D5"/>
    <w:rsid w:val="00E848D0"/>
    <w:rsid w:val="00E8664C"/>
    <w:rsid w:val="00E90352"/>
    <w:rsid w:val="00E905C1"/>
    <w:rsid w:val="00E90830"/>
    <w:rsid w:val="00E91DE3"/>
    <w:rsid w:val="00E93CBE"/>
    <w:rsid w:val="00E9437D"/>
    <w:rsid w:val="00E948BA"/>
    <w:rsid w:val="00E950BA"/>
    <w:rsid w:val="00E963AC"/>
    <w:rsid w:val="00E965F5"/>
    <w:rsid w:val="00E96D2D"/>
    <w:rsid w:val="00EA0539"/>
    <w:rsid w:val="00EA08DB"/>
    <w:rsid w:val="00EA1C0C"/>
    <w:rsid w:val="00EA335F"/>
    <w:rsid w:val="00EA38A0"/>
    <w:rsid w:val="00EA4FCF"/>
    <w:rsid w:val="00EA6429"/>
    <w:rsid w:val="00EA725A"/>
    <w:rsid w:val="00EA742C"/>
    <w:rsid w:val="00EB118D"/>
    <w:rsid w:val="00EB2E92"/>
    <w:rsid w:val="00EB3E49"/>
    <w:rsid w:val="00EB4D53"/>
    <w:rsid w:val="00EB5141"/>
    <w:rsid w:val="00EB5905"/>
    <w:rsid w:val="00EB5E48"/>
    <w:rsid w:val="00EB6259"/>
    <w:rsid w:val="00EB739F"/>
    <w:rsid w:val="00EB782C"/>
    <w:rsid w:val="00EC05C1"/>
    <w:rsid w:val="00EC0779"/>
    <w:rsid w:val="00EC4DA9"/>
    <w:rsid w:val="00EC57EB"/>
    <w:rsid w:val="00EC5D9A"/>
    <w:rsid w:val="00EC75E7"/>
    <w:rsid w:val="00ED0734"/>
    <w:rsid w:val="00ED0ABC"/>
    <w:rsid w:val="00ED1CD6"/>
    <w:rsid w:val="00ED3144"/>
    <w:rsid w:val="00ED3302"/>
    <w:rsid w:val="00ED3453"/>
    <w:rsid w:val="00ED5099"/>
    <w:rsid w:val="00ED533C"/>
    <w:rsid w:val="00EE0794"/>
    <w:rsid w:val="00EE1FB9"/>
    <w:rsid w:val="00EE252B"/>
    <w:rsid w:val="00EE3B03"/>
    <w:rsid w:val="00EE54F9"/>
    <w:rsid w:val="00EE6274"/>
    <w:rsid w:val="00EE6346"/>
    <w:rsid w:val="00EE66F0"/>
    <w:rsid w:val="00EE6D56"/>
    <w:rsid w:val="00EE7BCC"/>
    <w:rsid w:val="00EF0346"/>
    <w:rsid w:val="00EF1E58"/>
    <w:rsid w:val="00EF2081"/>
    <w:rsid w:val="00EF4642"/>
    <w:rsid w:val="00EF6102"/>
    <w:rsid w:val="00EF79A0"/>
    <w:rsid w:val="00F00C8E"/>
    <w:rsid w:val="00F00EC0"/>
    <w:rsid w:val="00F0177E"/>
    <w:rsid w:val="00F0440B"/>
    <w:rsid w:val="00F04881"/>
    <w:rsid w:val="00F0492E"/>
    <w:rsid w:val="00F05052"/>
    <w:rsid w:val="00F05F30"/>
    <w:rsid w:val="00F06EA4"/>
    <w:rsid w:val="00F073B2"/>
    <w:rsid w:val="00F07BF4"/>
    <w:rsid w:val="00F10350"/>
    <w:rsid w:val="00F10DA0"/>
    <w:rsid w:val="00F13616"/>
    <w:rsid w:val="00F148CE"/>
    <w:rsid w:val="00F160AD"/>
    <w:rsid w:val="00F16596"/>
    <w:rsid w:val="00F167E5"/>
    <w:rsid w:val="00F17AC2"/>
    <w:rsid w:val="00F214EF"/>
    <w:rsid w:val="00F22AB3"/>
    <w:rsid w:val="00F24CE4"/>
    <w:rsid w:val="00F27713"/>
    <w:rsid w:val="00F27A41"/>
    <w:rsid w:val="00F30FE7"/>
    <w:rsid w:val="00F314D0"/>
    <w:rsid w:val="00F31ED1"/>
    <w:rsid w:val="00F324F0"/>
    <w:rsid w:val="00F336FF"/>
    <w:rsid w:val="00F35BA2"/>
    <w:rsid w:val="00F3709C"/>
    <w:rsid w:val="00F37457"/>
    <w:rsid w:val="00F37720"/>
    <w:rsid w:val="00F37CA4"/>
    <w:rsid w:val="00F40E68"/>
    <w:rsid w:val="00F42358"/>
    <w:rsid w:val="00F4275F"/>
    <w:rsid w:val="00F435B1"/>
    <w:rsid w:val="00F4389C"/>
    <w:rsid w:val="00F440CD"/>
    <w:rsid w:val="00F44848"/>
    <w:rsid w:val="00F45854"/>
    <w:rsid w:val="00F458F3"/>
    <w:rsid w:val="00F460C1"/>
    <w:rsid w:val="00F4628C"/>
    <w:rsid w:val="00F47455"/>
    <w:rsid w:val="00F47CED"/>
    <w:rsid w:val="00F50630"/>
    <w:rsid w:val="00F50787"/>
    <w:rsid w:val="00F51CE8"/>
    <w:rsid w:val="00F51DC2"/>
    <w:rsid w:val="00F52CE1"/>
    <w:rsid w:val="00F530D5"/>
    <w:rsid w:val="00F5353B"/>
    <w:rsid w:val="00F53ECC"/>
    <w:rsid w:val="00F545DE"/>
    <w:rsid w:val="00F54BA0"/>
    <w:rsid w:val="00F55ABD"/>
    <w:rsid w:val="00F56436"/>
    <w:rsid w:val="00F5768B"/>
    <w:rsid w:val="00F57F0F"/>
    <w:rsid w:val="00F61136"/>
    <w:rsid w:val="00F62E29"/>
    <w:rsid w:val="00F64952"/>
    <w:rsid w:val="00F66A37"/>
    <w:rsid w:val="00F67B32"/>
    <w:rsid w:val="00F70B9D"/>
    <w:rsid w:val="00F70CC7"/>
    <w:rsid w:val="00F710C1"/>
    <w:rsid w:val="00F711CD"/>
    <w:rsid w:val="00F737B6"/>
    <w:rsid w:val="00F76816"/>
    <w:rsid w:val="00F82349"/>
    <w:rsid w:val="00F82692"/>
    <w:rsid w:val="00F82A9A"/>
    <w:rsid w:val="00F84FF3"/>
    <w:rsid w:val="00F85936"/>
    <w:rsid w:val="00F87180"/>
    <w:rsid w:val="00F9205B"/>
    <w:rsid w:val="00F93DE9"/>
    <w:rsid w:val="00F93DF6"/>
    <w:rsid w:val="00F93EF5"/>
    <w:rsid w:val="00F94314"/>
    <w:rsid w:val="00F94DA6"/>
    <w:rsid w:val="00F94E60"/>
    <w:rsid w:val="00F9752A"/>
    <w:rsid w:val="00F978FF"/>
    <w:rsid w:val="00FA2C1F"/>
    <w:rsid w:val="00FA5D56"/>
    <w:rsid w:val="00FA7925"/>
    <w:rsid w:val="00FB1874"/>
    <w:rsid w:val="00FB233A"/>
    <w:rsid w:val="00FB2C78"/>
    <w:rsid w:val="00FB2E62"/>
    <w:rsid w:val="00FB3CCC"/>
    <w:rsid w:val="00FB5068"/>
    <w:rsid w:val="00FB78A9"/>
    <w:rsid w:val="00FC0189"/>
    <w:rsid w:val="00FC6BF1"/>
    <w:rsid w:val="00FC7A5F"/>
    <w:rsid w:val="00FD05B4"/>
    <w:rsid w:val="00FD2930"/>
    <w:rsid w:val="00FD2B11"/>
    <w:rsid w:val="00FD3B42"/>
    <w:rsid w:val="00FD4B65"/>
    <w:rsid w:val="00FD5D56"/>
    <w:rsid w:val="00FD7923"/>
    <w:rsid w:val="00FE1BDD"/>
    <w:rsid w:val="00FE2121"/>
    <w:rsid w:val="00FE240E"/>
    <w:rsid w:val="00FE255A"/>
    <w:rsid w:val="00FE291A"/>
    <w:rsid w:val="00FE33DB"/>
    <w:rsid w:val="00FE752E"/>
    <w:rsid w:val="00FE7F6B"/>
    <w:rsid w:val="00FF1DBB"/>
    <w:rsid w:val="00FF211A"/>
    <w:rsid w:val="00FF4AC3"/>
    <w:rsid w:val="00FF53FD"/>
    <w:rsid w:val="00FF6BFE"/>
    <w:rsid w:val="00FF71D9"/>
    <w:rsid w:val="00FF7D47"/>
    <w:rsid w:val="01492CD2"/>
    <w:rsid w:val="01653D50"/>
    <w:rsid w:val="0176309C"/>
    <w:rsid w:val="01DF1CAE"/>
    <w:rsid w:val="032A78EA"/>
    <w:rsid w:val="035096D4"/>
    <w:rsid w:val="03D79F22"/>
    <w:rsid w:val="047DB907"/>
    <w:rsid w:val="054F536C"/>
    <w:rsid w:val="05FF14C4"/>
    <w:rsid w:val="06A33101"/>
    <w:rsid w:val="08030A09"/>
    <w:rsid w:val="08118C15"/>
    <w:rsid w:val="087BBA9A"/>
    <w:rsid w:val="089CA188"/>
    <w:rsid w:val="08EDCE15"/>
    <w:rsid w:val="08F32CF9"/>
    <w:rsid w:val="094D6B66"/>
    <w:rsid w:val="09526E8F"/>
    <w:rsid w:val="09C00668"/>
    <w:rsid w:val="09E1C2F1"/>
    <w:rsid w:val="0A5B9507"/>
    <w:rsid w:val="0AAA2F75"/>
    <w:rsid w:val="0ABA9DEF"/>
    <w:rsid w:val="0B05E607"/>
    <w:rsid w:val="0B0C763D"/>
    <w:rsid w:val="0BC68BF6"/>
    <w:rsid w:val="0C584897"/>
    <w:rsid w:val="0D0BBADC"/>
    <w:rsid w:val="0D479740"/>
    <w:rsid w:val="0DA09207"/>
    <w:rsid w:val="0DD2E10F"/>
    <w:rsid w:val="0EC87972"/>
    <w:rsid w:val="0EF33BFF"/>
    <w:rsid w:val="0F05029D"/>
    <w:rsid w:val="0F6ABB6F"/>
    <w:rsid w:val="0F6FC7ED"/>
    <w:rsid w:val="0F720B68"/>
    <w:rsid w:val="11197334"/>
    <w:rsid w:val="11E6F0DD"/>
    <w:rsid w:val="13B9C82F"/>
    <w:rsid w:val="13D4A990"/>
    <w:rsid w:val="14D017D5"/>
    <w:rsid w:val="1522CB6B"/>
    <w:rsid w:val="1525DC34"/>
    <w:rsid w:val="15FF43F3"/>
    <w:rsid w:val="160997D8"/>
    <w:rsid w:val="176642D8"/>
    <w:rsid w:val="185860BD"/>
    <w:rsid w:val="19B3CEA6"/>
    <w:rsid w:val="1A7A6C45"/>
    <w:rsid w:val="1AC96693"/>
    <w:rsid w:val="1BC01D75"/>
    <w:rsid w:val="1D7DC691"/>
    <w:rsid w:val="1DF3A1D0"/>
    <w:rsid w:val="1EFDEE87"/>
    <w:rsid w:val="20441C6C"/>
    <w:rsid w:val="20AA6983"/>
    <w:rsid w:val="21618372"/>
    <w:rsid w:val="21750D1B"/>
    <w:rsid w:val="21ABDAB2"/>
    <w:rsid w:val="22D8AFD4"/>
    <w:rsid w:val="242C4C79"/>
    <w:rsid w:val="24430B91"/>
    <w:rsid w:val="246A558A"/>
    <w:rsid w:val="24815710"/>
    <w:rsid w:val="24DAB37B"/>
    <w:rsid w:val="2583D342"/>
    <w:rsid w:val="2613F392"/>
    <w:rsid w:val="261688EA"/>
    <w:rsid w:val="26182EC6"/>
    <w:rsid w:val="270305B3"/>
    <w:rsid w:val="274357E0"/>
    <w:rsid w:val="282A856B"/>
    <w:rsid w:val="29777D31"/>
    <w:rsid w:val="29C10D35"/>
    <w:rsid w:val="29DE0936"/>
    <w:rsid w:val="2A8E13FF"/>
    <w:rsid w:val="2ABCC94D"/>
    <w:rsid w:val="2ACBB5E8"/>
    <w:rsid w:val="2BD13FED"/>
    <w:rsid w:val="2C428FA7"/>
    <w:rsid w:val="2CA2AFF4"/>
    <w:rsid w:val="2CB844B5"/>
    <w:rsid w:val="2CD4CBD9"/>
    <w:rsid w:val="2D242653"/>
    <w:rsid w:val="2F09DD63"/>
    <w:rsid w:val="30665FD4"/>
    <w:rsid w:val="30696482"/>
    <w:rsid w:val="308FDEA5"/>
    <w:rsid w:val="30987482"/>
    <w:rsid w:val="31955E30"/>
    <w:rsid w:val="32214522"/>
    <w:rsid w:val="3247BBB8"/>
    <w:rsid w:val="32F63C0F"/>
    <w:rsid w:val="33123DAF"/>
    <w:rsid w:val="33281021"/>
    <w:rsid w:val="3352F3CF"/>
    <w:rsid w:val="34343A8C"/>
    <w:rsid w:val="3446F61A"/>
    <w:rsid w:val="345D59C9"/>
    <w:rsid w:val="34ADA6FE"/>
    <w:rsid w:val="34D0F306"/>
    <w:rsid w:val="3699F1CA"/>
    <w:rsid w:val="36B76CB2"/>
    <w:rsid w:val="377E45CB"/>
    <w:rsid w:val="378EB275"/>
    <w:rsid w:val="382CD719"/>
    <w:rsid w:val="38512AEF"/>
    <w:rsid w:val="3973B863"/>
    <w:rsid w:val="39B06065"/>
    <w:rsid w:val="39BD2540"/>
    <w:rsid w:val="3A479A7D"/>
    <w:rsid w:val="3AC46FFF"/>
    <w:rsid w:val="3ADE50CE"/>
    <w:rsid w:val="3BB5C600"/>
    <w:rsid w:val="3CE35C1A"/>
    <w:rsid w:val="3CF3ACF7"/>
    <w:rsid w:val="3DB6368A"/>
    <w:rsid w:val="3E6FFA65"/>
    <w:rsid w:val="3E879B64"/>
    <w:rsid w:val="3E9EA029"/>
    <w:rsid w:val="3EF05A0C"/>
    <w:rsid w:val="3F254993"/>
    <w:rsid w:val="3F4FE901"/>
    <w:rsid w:val="3FAC8694"/>
    <w:rsid w:val="404B417A"/>
    <w:rsid w:val="40CE6A92"/>
    <w:rsid w:val="4125E849"/>
    <w:rsid w:val="415116D9"/>
    <w:rsid w:val="41E842EC"/>
    <w:rsid w:val="428CA48F"/>
    <w:rsid w:val="43016C60"/>
    <w:rsid w:val="43ED24F8"/>
    <w:rsid w:val="440D844B"/>
    <w:rsid w:val="44CB64D0"/>
    <w:rsid w:val="47948540"/>
    <w:rsid w:val="4798BD6A"/>
    <w:rsid w:val="47F2C684"/>
    <w:rsid w:val="48DD080C"/>
    <w:rsid w:val="49781E65"/>
    <w:rsid w:val="49CC7B98"/>
    <w:rsid w:val="49F1DF6F"/>
    <w:rsid w:val="4A66801C"/>
    <w:rsid w:val="4A9D398A"/>
    <w:rsid w:val="4B2C15A7"/>
    <w:rsid w:val="4B63B2FA"/>
    <w:rsid w:val="4BE6FF44"/>
    <w:rsid w:val="4C3E3ECD"/>
    <w:rsid w:val="4CD02F53"/>
    <w:rsid w:val="4D15FE22"/>
    <w:rsid w:val="4E97945A"/>
    <w:rsid w:val="4FFCA67C"/>
    <w:rsid w:val="50380D7A"/>
    <w:rsid w:val="51894D07"/>
    <w:rsid w:val="51E0E87C"/>
    <w:rsid w:val="5233F412"/>
    <w:rsid w:val="535971B2"/>
    <w:rsid w:val="539E9271"/>
    <w:rsid w:val="543A267D"/>
    <w:rsid w:val="54BBEC32"/>
    <w:rsid w:val="552BFDDB"/>
    <w:rsid w:val="559290C0"/>
    <w:rsid w:val="55B9DC9C"/>
    <w:rsid w:val="5616D570"/>
    <w:rsid w:val="56F57FB4"/>
    <w:rsid w:val="5740BFB0"/>
    <w:rsid w:val="57A966D5"/>
    <w:rsid w:val="57F2B0ED"/>
    <w:rsid w:val="5945638A"/>
    <w:rsid w:val="597EF178"/>
    <w:rsid w:val="59943E95"/>
    <w:rsid w:val="5A4A31C1"/>
    <w:rsid w:val="5A7F5F1A"/>
    <w:rsid w:val="5B3F5C62"/>
    <w:rsid w:val="5B4D6FB2"/>
    <w:rsid w:val="5B593141"/>
    <w:rsid w:val="5B60BCF7"/>
    <w:rsid w:val="5B8BF709"/>
    <w:rsid w:val="5D358132"/>
    <w:rsid w:val="5E69F185"/>
    <w:rsid w:val="5E747445"/>
    <w:rsid w:val="5E7FB230"/>
    <w:rsid w:val="5F4A9070"/>
    <w:rsid w:val="5F4BB5A8"/>
    <w:rsid w:val="5F6CE803"/>
    <w:rsid w:val="60A203E2"/>
    <w:rsid w:val="611E6029"/>
    <w:rsid w:val="61260956"/>
    <w:rsid w:val="61602485"/>
    <w:rsid w:val="616032C5"/>
    <w:rsid w:val="61B4DA3F"/>
    <w:rsid w:val="6287BB77"/>
    <w:rsid w:val="62BF7D1C"/>
    <w:rsid w:val="63235251"/>
    <w:rsid w:val="644FA398"/>
    <w:rsid w:val="6481D4DF"/>
    <w:rsid w:val="648BFB99"/>
    <w:rsid w:val="66E1259A"/>
    <w:rsid w:val="67810D47"/>
    <w:rsid w:val="6854E545"/>
    <w:rsid w:val="68CD55D8"/>
    <w:rsid w:val="6919D616"/>
    <w:rsid w:val="691D81BD"/>
    <w:rsid w:val="693D0180"/>
    <w:rsid w:val="6948BB82"/>
    <w:rsid w:val="6B5A326E"/>
    <w:rsid w:val="6B5B151F"/>
    <w:rsid w:val="6BBAAA6A"/>
    <w:rsid w:val="6BD6EBC8"/>
    <w:rsid w:val="6C68C8B9"/>
    <w:rsid w:val="6CC2C621"/>
    <w:rsid w:val="6DDFC47D"/>
    <w:rsid w:val="6E2DB5FF"/>
    <w:rsid w:val="6E47B1D4"/>
    <w:rsid w:val="6E64A6ED"/>
    <w:rsid w:val="6EAA68F7"/>
    <w:rsid w:val="6ECD6285"/>
    <w:rsid w:val="6ECE8B4A"/>
    <w:rsid w:val="6F2FA792"/>
    <w:rsid w:val="6FDFFE9A"/>
    <w:rsid w:val="6FEDADE8"/>
    <w:rsid w:val="7050B6C4"/>
    <w:rsid w:val="70ECA80F"/>
    <w:rsid w:val="712B76D5"/>
    <w:rsid w:val="718FB897"/>
    <w:rsid w:val="71C7553F"/>
    <w:rsid w:val="73864055"/>
    <w:rsid w:val="7391CA60"/>
    <w:rsid w:val="73B4D7CD"/>
    <w:rsid w:val="73C6819E"/>
    <w:rsid w:val="747D3BB3"/>
    <w:rsid w:val="74E87BF0"/>
    <w:rsid w:val="750153E2"/>
    <w:rsid w:val="7533A277"/>
    <w:rsid w:val="7540166D"/>
    <w:rsid w:val="75C34698"/>
    <w:rsid w:val="762AD4FF"/>
    <w:rsid w:val="77BFE28C"/>
    <w:rsid w:val="77CE0232"/>
    <w:rsid w:val="77D2299A"/>
    <w:rsid w:val="77D25796"/>
    <w:rsid w:val="7900ED80"/>
    <w:rsid w:val="79E60CAE"/>
    <w:rsid w:val="7A234B14"/>
    <w:rsid w:val="7A7ED163"/>
    <w:rsid w:val="7AB83209"/>
    <w:rsid w:val="7AFD1E3B"/>
    <w:rsid w:val="7B4F1C4A"/>
    <w:rsid w:val="7BADBAB2"/>
    <w:rsid w:val="7BF920E8"/>
    <w:rsid w:val="7C4548CF"/>
    <w:rsid w:val="7C654BFC"/>
    <w:rsid w:val="7E35C49B"/>
    <w:rsid w:val="7E7CB3C4"/>
    <w:rsid w:val="7EC7565F"/>
    <w:rsid w:val="7F0951A3"/>
    <w:rsid w:val="7F4D7E97"/>
    <w:rsid w:val="7F97A0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48402"/>
  <w15:docId w15:val="{7A9D333C-E989-4493-8B9C-4270625F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FD"/>
    <w:rPr>
      <w:sz w:val="24"/>
      <w:szCs w:val="24"/>
    </w:rPr>
  </w:style>
  <w:style w:type="paragraph" w:styleId="Heading1">
    <w:name w:val="heading 1"/>
    <w:basedOn w:val="Normal"/>
    <w:next w:val="Normal"/>
    <w:qFormat/>
    <w:pPr>
      <w:keepNext/>
      <w:tabs>
        <w:tab w:val="left" w:pos="2126"/>
      </w:tabs>
      <w:jc w:val="both"/>
      <w:outlineLvl w:val="0"/>
    </w:pPr>
    <w:rPr>
      <w:b/>
    </w:rPr>
  </w:style>
  <w:style w:type="paragraph" w:styleId="Heading2">
    <w:name w:val="heading 2"/>
    <w:basedOn w:val="Normal"/>
    <w:next w:val="Normal"/>
    <w:qFormat/>
    <w:rsid w:val="00073148"/>
    <w:pPr>
      <w:keepNext/>
      <w:spacing w:before="240" w:after="60"/>
      <w:outlineLvl w:val="1"/>
    </w:pPr>
    <w:rPr>
      <w:rFonts w:cs="Arial"/>
      <w:b/>
      <w:bCs/>
      <w:i/>
      <w:iCs/>
      <w:sz w:val="28"/>
      <w:szCs w:val="28"/>
    </w:rPr>
  </w:style>
  <w:style w:type="paragraph" w:styleId="Heading4">
    <w:name w:val="heading 4"/>
    <w:basedOn w:val="Normal"/>
    <w:next w:val="Normal"/>
    <w:qFormat/>
    <w:rsid w:val="00B75833"/>
    <w:pPr>
      <w:keepNext/>
      <w:spacing w:before="240" w:after="60"/>
      <w:outlineLvl w:val="3"/>
    </w:pPr>
    <w:rPr>
      <w:b/>
      <w:bCs/>
      <w:sz w:val="28"/>
      <w:szCs w:val="28"/>
    </w:rPr>
  </w:style>
  <w:style w:type="paragraph" w:styleId="Heading7">
    <w:name w:val="heading 7"/>
    <w:basedOn w:val="Normal"/>
    <w:next w:val="Normal"/>
    <w:qFormat/>
    <w:rsid w:val="00B7583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rsid w:val="0027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5833"/>
    <w:pPr>
      <w:ind w:left="720"/>
    </w:pPr>
  </w:style>
  <w:style w:type="paragraph" w:styleId="BodyText">
    <w:name w:val="Body Text"/>
    <w:basedOn w:val="Normal"/>
    <w:link w:val="BodyTextChar"/>
    <w:rsid w:val="00B75833"/>
    <w:pPr>
      <w:spacing w:after="120"/>
    </w:pPr>
  </w:style>
  <w:style w:type="paragraph" w:styleId="BalloonText">
    <w:name w:val="Balloon Text"/>
    <w:basedOn w:val="Normal"/>
    <w:semiHidden/>
    <w:rsid w:val="00485B89"/>
    <w:rPr>
      <w:rFonts w:ascii="Tahoma" w:hAnsi="Tahoma" w:cs="Tahoma"/>
      <w:sz w:val="16"/>
      <w:szCs w:val="16"/>
    </w:rPr>
  </w:style>
  <w:style w:type="character" w:customStyle="1" w:styleId="BodyTextIndentChar">
    <w:name w:val="Body Text Indent Char"/>
    <w:link w:val="BodyTextIndent"/>
    <w:rsid w:val="00945F5F"/>
    <w:rPr>
      <w:rFonts w:ascii="Arial" w:hAnsi="Arial"/>
      <w:lang w:val="en-GB" w:eastAsia="en-US" w:bidi="ar-SA"/>
    </w:rPr>
  </w:style>
  <w:style w:type="character" w:customStyle="1" w:styleId="BodyTextChar">
    <w:name w:val="Body Text Char"/>
    <w:link w:val="BodyText"/>
    <w:rsid w:val="00945F5F"/>
    <w:rPr>
      <w:rFonts w:ascii="Arial" w:hAnsi="Arial"/>
      <w:lang w:val="en-GB" w:eastAsia="en-US" w:bidi="ar-SA"/>
    </w:rPr>
  </w:style>
  <w:style w:type="character" w:styleId="Hyperlink">
    <w:name w:val="Hyperlink"/>
    <w:rsid w:val="00073148"/>
    <w:rPr>
      <w:color w:val="0000FF"/>
      <w:u w:val="single"/>
    </w:rPr>
  </w:style>
  <w:style w:type="character" w:styleId="FollowedHyperlink">
    <w:name w:val="FollowedHyperlink"/>
    <w:rsid w:val="00AB7F5C"/>
    <w:rPr>
      <w:color w:val="800080"/>
      <w:u w:val="single"/>
    </w:rPr>
  </w:style>
  <w:style w:type="character" w:customStyle="1" w:styleId="FooterChar">
    <w:name w:val="Footer Char"/>
    <w:link w:val="Footer"/>
    <w:uiPriority w:val="99"/>
    <w:rsid w:val="0067619E"/>
    <w:rPr>
      <w:rFonts w:ascii="Arial" w:hAnsi="Arial"/>
      <w:lang w:eastAsia="en-US"/>
    </w:rPr>
  </w:style>
  <w:style w:type="paragraph" w:styleId="ListParagraph">
    <w:name w:val="List Paragraph"/>
    <w:aliases w:val="All text list Paragraph,Report NORMAL"/>
    <w:basedOn w:val="Normal"/>
    <w:link w:val="ListParagraphChar"/>
    <w:uiPriority w:val="34"/>
    <w:qFormat/>
    <w:rsid w:val="003673F8"/>
    <w:pPr>
      <w:ind w:left="720"/>
      <w:contextualSpacing/>
    </w:pPr>
  </w:style>
  <w:style w:type="paragraph" w:customStyle="1" w:styleId="Default">
    <w:name w:val="Default"/>
    <w:rsid w:val="00D02A18"/>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F5124"/>
    <w:rPr>
      <w:sz w:val="16"/>
      <w:szCs w:val="16"/>
    </w:rPr>
  </w:style>
  <w:style w:type="paragraph" w:styleId="CommentText">
    <w:name w:val="annotation text"/>
    <w:basedOn w:val="Normal"/>
    <w:link w:val="CommentTextChar"/>
    <w:uiPriority w:val="99"/>
    <w:semiHidden/>
    <w:unhideWhenUsed/>
    <w:rsid w:val="001F5124"/>
  </w:style>
  <w:style w:type="character" w:customStyle="1" w:styleId="CommentTextChar">
    <w:name w:val="Comment Text Char"/>
    <w:link w:val="CommentText"/>
    <w:uiPriority w:val="99"/>
    <w:semiHidden/>
    <w:rsid w:val="001F512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F5124"/>
    <w:rPr>
      <w:b/>
      <w:bCs/>
    </w:rPr>
  </w:style>
  <w:style w:type="character" w:customStyle="1" w:styleId="CommentSubjectChar">
    <w:name w:val="Comment Subject Char"/>
    <w:link w:val="CommentSubject"/>
    <w:uiPriority w:val="99"/>
    <w:semiHidden/>
    <w:rsid w:val="001F5124"/>
    <w:rPr>
      <w:rFonts w:ascii="Arial" w:hAnsi="Arial"/>
      <w:b/>
      <w:bCs/>
      <w:lang w:eastAsia="en-US"/>
    </w:rPr>
  </w:style>
  <w:style w:type="character" w:customStyle="1" w:styleId="ListParagraphChar">
    <w:name w:val="List Paragraph Char"/>
    <w:aliases w:val="All text list Paragraph Char,Report NORMAL Char"/>
    <w:link w:val="ListParagraph"/>
    <w:uiPriority w:val="34"/>
    <w:locked/>
    <w:rsid w:val="004654D5"/>
    <w:rPr>
      <w:rFonts w:ascii="Arial" w:hAnsi="Arial"/>
      <w:lang w:eastAsia="en-US"/>
    </w:rPr>
  </w:style>
  <w:style w:type="paragraph" w:styleId="Revision">
    <w:name w:val="Revision"/>
    <w:hidden/>
    <w:uiPriority w:val="99"/>
    <w:semiHidden/>
    <w:rsid w:val="00F24CE4"/>
    <w:rPr>
      <w:rFonts w:ascii="Arial" w:hAnsi="Arial"/>
      <w:lang w:eastAsia="en-US"/>
    </w:rPr>
  </w:style>
  <w:style w:type="character" w:customStyle="1" w:styleId="normaltextrun">
    <w:name w:val="normaltextrun"/>
    <w:basedOn w:val="DefaultParagraphFont"/>
    <w:rsid w:val="00103ADF"/>
  </w:style>
  <w:style w:type="paragraph" w:styleId="NormalWeb">
    <w:name w:val="Normal (Web)"/>
    <w:basedOn w:val="Normal"/>
    <w:uiPriority w:val="99"/>
    <w:semiHidden/>
    <w:unhideWhenUsed/>
    <w:rsid w:val="00C95A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493">
      <w:bodyDiv w:val="1"/>
      <w:marLeft w:val="0"/>
      <w:marRight w:val="0"/>
      <w:marTop w:val="0"/>
      <w:marBottom w:val="0"/>
      <w:divBdr>
        <w:top w:val="none" w:sz="0" w:space="0" w:color="auto"/>
        <w:left w:val="none" w:sz="0" w:space="0" w:color="auto"/>
        <w:bottom w:val="none" w:sz="0" w:space="0" w:color="auto"/>
        <w:right w:val="none" w:sz="0" w:space="0" w:color="auto"/>
      </w:divBdr>
    </w:div>
    <w:div w:id="19823767">
      <w:bodyDiv w:val="1"/>
      <w:marLeft w:val="0"/>
      <w:marRight w:val="0"/>
      <w:marTop w:val="0"/>
      <w:marBottom w:val="0"/>
      <w:divBdr>
        <w:top w:val="none" w:sz="0" w:space="0" w:color="auto"/>
        <w:left w:val="none" w:sz="0" w:space="0" w:color="auto"/>
        <w:bottom w:val="none" w:sz="0" w:space="0" w:color="auto"/>
        <w:right w:val="none" w:sz="0" w:space="0" w:color="auto"/>
      </w:divBdr>
    </w:div>
    <w:div w:id="20515221">
      <w:bodyDiv w:val="1"/>
      <w:marLeft w:val="0"/>
      <w:marRight w:val="0"/>
      <w:marTop w:val="0"/>
      <w:marBottom w:val="0"/>
      <w:divBdr>
        <w:top w:val="none" w:sz="0" w:space="0" w:color="auto"/>
        <w:left w:val="none" w:sz="0" w:space="0" w:color="auto"/>
        <w:bottom w:val="none" w:sz="0" w:space="0" w:color="auto"/>
        <w:right w:val="none" w:sz="0" w:space="0" w:color="auto"/>
      </w:divBdr>
    </w:div>
    <w:div w:id="63993199">
      <w:bodyDiv w:val="1"/>
      <w:marLeft w:val="0"/>
      <w:marRight w:val="0"/>
      <w:marTop w:val="0"/>
      <w:marBottom w:val="0"/>
      <w:divBdr>
        <w:top w:val="none" w:sz="0" w:space="0" w:color="auto"/>
        <w:left w:val="none" w:sz="0" w:space="0" w:color="auto"/>
        <w:bottom w:val="none" w:sz="0" w:space="0" w:color="auto"/>
        <w:right w:val="none" w:sz="0" w:space="0" w:color="auto"/>
      </w:divBdr>
    </w:div>
    <w:div w:id="150491023">
      <w:bodyDiv w:val="1"/>
      <w:marLeft w:val="0"/>
      <w:marRight w:val="0"/>
      <w:marTop w:val="0"/>
      <w:marBottom w:val="0"/>
      <w:divBdr>
        <w:top w:val="none" w:sz="0" w:space="0" w:color="auto"/>
        <w:left w:val="none" w:sz="0" w:space="0" w:color="auto"/>
        <w:bottom w:val="none" w:sz="0" w:space="0" w:color="auto"/>
        <w:right w:val="none" w:sz="0" w:space="0" w:color="auto"/>
      </w:divBdr>
    </w:div>
    <w:div w:id="155653851">
      <w:bodyDiv w:val="1"/>
      <w:marLeft w:val="0"/>
      <w:marRight w:val="0"/>
      <w:marTop w:val="0"/>
      <w:marBottom w:val="0"/>
      <w:divBdr>
        <w:top w:val="none" w:sz="0" w:space="0" w:color="auto"/>
        <w:left w:val="none" w:sz="0" w:space="0" w:color="auto"/>
        <w:bottom w:val="none" w:sz="0" w:space="0" w:color="auto"/>
        <w:right w:val="none" w:sz="0" w:space="0" w:color="auto"/>
      </w:divBdr>
    </w:div>
    <w:div w:id="327636236">
      <w:bodyDiv w:val="1"/>
      <w:marLeft w:val="0"/>
      <w:marRight w:val="0"/>
      <w:marTop w:val="0"/>
      <w:marBottom w:val="0"/>
      <w:divBdr>
        <w:top w:val="none" w:sz="0" w:space="0" w:color="auto"/>
        <w:left w:val="none" w:sz="0" w:space="0" w:color="auto"/>
        <w:bottom w:val="none" w:sz="0" w:space="0" w:color="auto"/>
        <w:right w:val="none" w:sz="0" w:space="0" w:color="auto"/>
      </w:divBdr>
    </w:div>
    <w:div w:id="346256667">
      <w:bodyDiv w:val="1"/>
      <w:marLeft w:val="0"/>
      <w:marRight w:val="0"/>
      <w:marTop w:val="0"/>
      <w:marBottom w:val="0"/>
      <w:divBdr>
        <w:top w:val="none" w:sz="0" w:space="0" w:color="auto"/>
        <w:left w:val="none" w:sz="0" w:space="0" w:color="auto"/>
        <w:bottom w:val="none" w:sz="0" w:space="0" w:color="auto"/>
        <w:right w:val="none" w:sz="0" w:space="0" w:color="auto"/>
      </w:divBdr>
    </w:div>
    <w:div w:id="355153938">
      <w:bodyDiv w:val="1"/>
      <w:marLeft w:val="0"/>
      <w:marRight w:val="0"/>
      <w:marTop w:val="0"/>
      <w:marBottom w:val="0"/>
      <w:divBdr>
        <w:top w:val="none" w:sz="0" w:space="0" w:color="auto"/>
        <w:left w:val="none" w:sz="0" w:space="0" w:color="auto"/>
        <w:bottom w:val="none" w:sz="0" w:space="0" w:color="auto"/>
        <w:right w:val="none" w:sz="0" w:space="0" w:color="auto"/>
      </w:divBdr>
    </w:div>
    <w:div w:id="502165040">
      <w:bodyDiv w:val="1"/>
      <w:marLeft w:val="0"/>
      <w:marRight w:val="0"/>
      <w:marTop w:val="0"/>
      <w:marBottom w:val="0"/>
      <w:divBdr>
        <w:top w:val="none" w:sz="0" w:space="0" w:color="auto"/>
        <w:left w:val="none" w:sz="0" w:space="0" w:color="auto"/>
        <w:bottom w:val="none" w:sz="0" w:space="0" w:color="auto"/>
        <w:right w:val="none" w:sz="0" w:space="0" w:color="auto"/>
      </w:divBdr>
    </w:div>
    <w:div w:id="525867534">
      <w:bodyDiv w:val="1"/>
      <w:marLeft w:val="0"/>
      <w:marRight w:val="0"/>
      <w:marTop w:val="0"/>
      <w:marBottom w:val="0"/>
      <w:divBdr>
        <w:top w:val="none" w:sz="0" w:space="0" w:color="auto"/>
        <w:left w:val="none" w:sz="0" w:space="0" w:color="auto"/>
        <w:bottom w:val="none" w:sz="0" w:space="0" w:color="auto"/>
        <w:right w:val="none" w:sz="0" w:space="0" w:color="auto"/>
      </w:divBdr>
    </w:div>
    <w:div w:id="540946136">
      <w:bodyDiv w:val="1"/>
      <w:marLeft w:val="0"/>
      <w:marRight w:val="0"/>
      <w:marTop w:val="0"/>
      <w:marBottom w:val="0"/>
      <w:divBdr>
        <w:top w:val="none" w:sz="0" w:space="0" w:color="auto"/>
        <w:left w:val="none" w:sz="0" w:space="0" w:color="auto"/>
        <w:bottom w:val="none" w:sz="0" w:space="0" w:color="auto"/>
        <w:right w:val="none" w:sz="0" w:space="0" w:color="auto"/>
      </w:divBdr>
    </w:div>
    <w:div w:id="584846777">
      <w:bodyDiv w:val="1"/>
      <w:marLeft w:val="0"/>
      <w:marRight w:val="0"/>
      <w:marTop w:val="0"/>
      <w:marBottom w:val="0"/>
      <w:divBdr>
        <w:top w:val="none" w:sz="0" w:space="0" w:color="auto"/>
        <w:left w:val="none" w:sz="0" w:space="0" w:color="auto"/>
        <w:bottom w:val="none" w:sz="0" w:space="0" w:color="auto"/>
        <w:right w:val="none" w:sz="0" w:space="0" w:color="auto"/>
      </w:divBdr>
      <w:divsChild>
        <w:div w:id="840854924">
          <w:marLeft w:val="274"/>
          <w:marRight w:val="0"/>
          <w:marTop w:val="0"/>
          <w:marBottom w:val="0"/>
          <w:divBdr>
            <w:top w:val="none" w:sz="0" w:space="0" w:color="auto"/>
            <w:left w:val="none" w:sz="0" w:space="0" w:color="auto"/>
            <w:bottom w:val="none" w:sz="0" w:space="0" w:color="auto"/>
            <w:right w:val="none" w:sz="0" w:space="0" w:color="auto"/>
          </w:divBdr>
        </w:div>
        <w:div w:id="1766681655">
          <w:marLeft w:val="274"/>
          <w:marRight w:val="0"/>
          <w:marTop w:val="0"/>
          <w:marBottom w:val="0"/>
          <w:divBdr>
            <w:top w:val="none" w:sz="0" w:space="0" w:color="auto"/>
            <w:left w:val="none" w:sz="0" w:space="0" w:color="auto"/>
            <w:bottom w:val="none" w:sz="0" w:space="0" w:color="auto"/>
            <w:right w:val="none" w:sz="0" w:space="0" w:color="auto"/>
          </w:divBdr>
        </w:div>
      </w:divsChild>
    </w:div>
    <w:div w:id="639463519">
      <w:bodyDiv w:val="1"/>
      <w:marLeft w:val="0"/>
      <w:marRight w:val="0"/>
      <w:marTop w:val="0"/>
      <w:marBottom w:val="0"/>
      <w:divBdr>
        <w:top w:val="none" w:sz="0" w:space="0" w:color="auto"/>
        <w:left w:val="none" w:sz="0" w:space="0" w:color="auto"/>
        <w:bottom w:val="none" w:sz="0" w:space="0" w:color="auto"/>
        <w:right w:val="none" w:sz="0" w:space="0" w:color="auto"/>
      </w:divBdr>
      <w:divsChild>
        <w:div w:id="548420260">
          <w:marLeft w:val="274"/>
          <w:marRight w:val="0"/>
          <w:marTop w:val="0"/>
          <w:marBottom w:val="0"/>
          <w:divBdr>
            <w:top w:val="none" w:sz="0" w:space="0" w:color="auto"/>
            <w:left w:val="none" w:sz="0" w:space="0" w:color="auto"/>
            <w:bottom w:val="none" w:sz="0" w:space="0" w:color="auto"/>
            <w:right w:val="none" w:sz="0" w:space="0" w:color="auto"/>
          </w:divBdr>
        </w:div>
        <w:div w:id="1200170349">
          <w:marLeft w:val="274"/>
          <w:marRight w:val="0"/>
          <w:marTop w:val="0"/>
          <w:marBottom w:val="0"/>
          <w:divBdr>
            <w:top w:val="none" w:sz="0" w:space="0" w:color="auto"/>
            <w:left w:val="none" w:sz="0" w:space="0" w:color="auto"/>
            <w:bottom w:val="none" w:sz="0" w:space="0" w:color="auto"/>
            <w:right w:val="none" w:sz="0" w:space="0" w:color="auto"/>
          </w:divBdr>
        </w:div>
        <w:div w:id="1517772871">
          <w:marLeft w:val="274"/>
          <w:marRight w:val="0"/>
          <w:marTop w:val="0"/>
          <w:marBottom w:val="0"/>
          <w:divBdr>
            <w:top w:val="none" w:sz="0" w:space="0" w:color="auto"/>
            <w:left w:val="none" w:sz="0" w:space="0" w:color="auto"/>
            <w:bottom w:val="none" w:sz="0" w:space="0" w:color="auto"/>
            <w:right w:val="none" w:sz="0" w:space="0" w:color="auto"/>
          </w:divBdr>
        </w:div>
        <w:div w:id="1542739975">
          <w:marLeft w:val="274"/>
          <w:marRight w:val="0"/>
          <w:marTop w:val="0"/>
          <w:marBottom w:val="0"/>
          <w:divBdr>
            <w:top w:val="none" w:sz="0" w:space="0" w:color="auto"/>
            <w:left w:val="none" w:sz="0" w:space="0" w:color="auto"/>
            <w:bottom w:val="none" w:sz="0" w:space="0" w:color="auto"/>
            <w:right w:val="none" w:sz="0" w:space="0" w:color="auto"/>
          </w:divBdr>
        </w:div>
      </w:divsChild>
    </w:div>
    <w:div w:id="749043226">
      <w:bodyDiv w:val="1"/>
      <w:marLeft w:val="0"/>
      <w:marRight w:val="0"/>
      <w:marTop w:val="0"/>
      <w:marBottom w:val="0"/>
      <w:divBdr>
        <w:top w:val="none" w:sz="0" w:space="0" w:color="auto"/>
        <w:left w:val="none" w:sz="0" w:space="0" w:color="auto"/>
        <w:bottom w:val="none" w:sz="0" w:space="0" w:color="auto"/>
        <w:right w:val="none" w:sz="0" w:space="0" w:color="auto"/>
      </w:divBdr>
    </w:div>
    <w:div w:id="810249920">
      <w:bodyDiv w:val="1"/>
      <w:marLeft w:val="0"/>
      <w:marRight w:val="0"/>
      <w:marTop w:val="0"/>
      <w:marBottom w:val="0"/>
      <w:divBdr>
        <w:top w:val="none" w:sz="0" w:space="0" w:color="auto"/>
        <w:left w:val="none" w:sz="0" w:space="0" w:color="auto"/>
        <w:bottom w:val="none" w:sz="0" w:space="0" w:color="auto"/>
        <w:right w:val="none" w:sz="0" w:space="0" w:color="auto"/>
      </w:divBdr>
    </w:div>
    <w:div w:id="923029072">
      <w:bodyDiv w:val="1"/>
      <w:marLeft w:val="0"/>
      <w:marRight w:val="0"/>
      <w:marTop w:val="0"/>
      <w:marBottom w:val="0"/>
      <w:divBdr>
        <w:top w:val="none" w:sz="0" w:space="0" w:color="auto"/>
        <w:left w:val="none" w:sz="0" w:space="0" w:color="auto"/>
        <w:bottom w:val="none" w:sz="0" w:space="0" w:color="auto"/>
        <w:right w:val="none" w:sz="0" w:space="0" w:color="auto"/>
      </w:divBdr>
    </w:div>
    <w:div w:id="1003699114">
      <w:bodyDiv w:val="1"/>
      <w:marLeft w:val="0"/>
      <w:marRight w:val="0"/>
      <w:marTop w:val="0"/>
      <w:marBottom w:val="0"/>
      <w:divBdr>
        <w:top w:val="none" w:sz="0" w:space="0" w:color="auto"/>
        <w:left w:val="none" w:sz="0" w:space="0" w:color="auto"/>
        <w:bottom w:val="none" w:sz="0" w:space="0" w:color="auto"/>
        <w:right w:val="none" w:sz="0" w:space="0" w:color="auto"/>
      </w:divBdr>
    </w:div>
    <w:div w:id="1159686466">
      <w:bodyDiv w:val="1"/>
      <w:marLeft w:val="0"/>
      <w:marRight w:val="0"/>
      <w:marTop w:val="0"/>
      <w:marBottom w:val="0"/>
      <w:divBdr>
        <w:top w:val="none" w:sz="0" w:space="0" w:color="auto"/>
        <w:left w:val="none" w:sz="0" w:space="0" w:color="auto"/>
        <w:bottom w:val="none" w:sz="0" w:space="0" w:color="auto"/>
        <w:right w:val="none" w:sz="0" w:space="0" w:color="auto"/>
      </w:divBdr>
    </w:div>
    <w:div w:id="1297372154">
      <w:bodyDiv w:val="1"/>
      <w:marLeft w:val="0"/>
      <w:marRight w:val="0"/>
      <w:marTop w:val="0"/>
      <w:marBottom w:val="0"/>
      <w:divBdr>
        <w:top w:val="none" w:sz="0" w:space="0" w:color="auto"/>
        <w:left w:val="none" w:sz="0" w:space="0" w:color="auto"/>
        <w:bottom w:val="none" w:sz="0" w:space="0" w:color="auto"/>
        <w:right w:val="none" w:sz="0" w:space="0" w:color="auto"/>
      </w:divBdr>
    </w:div>
    <w:div w:id="1422601838">
      <w:bodyDiv w:val="1"/>
      <w:marLeft w:val="0"/>
      <w:marRight w:val="0"/>
      <w:marTop w:val="0"/>
      <w:marBottom w:val="0"/>
      <w:divBdr>
        <w:top w:val="none" w:sz="0" w:space="0" w:color="auto"/>
        <w:left w:val="none" w:sz="0" w:space="0" w:color="auto"/>
        <w:bottom w:val="none" w:sz="0" w:space="0" w:color="auto"/>
        <w:right w:val="none" w:sz="0" w:space="0" w:color="auto"/>
      </w:divBdr>
    </w:div>
    <w:div w:id="1536501132">
      <w:bodyDiv w:val="1"/>
      <w:marLeft w:val="0"/>
      <w:marRight w:val="0"/>
      <w:marTop w:val="0"/>
      <w:marBottom w:val="0"/>
      <w:divBdr>
        <w:top w:val="none" w:sz="0" w:space="0" w:color="auto"/>
        <w:left w:val="none" w:sz="0" w:space="0" w:color="auto"/>
        <w:bottom w:val="none" w:sz="0" w:space="0" w:color="auto"/>
        <w:right w:val="none" w:sz="0" w:space="0" w:color="auto"/>
      </w:divBdr>
    </w:div>
    <w:div w:id="1559702809">
      <w:bodyDiv w:val="1"/>
      <w:marLeft w:val="0"/>
      <w:marRight w:val="0"/>
      <w:marTop w:val="0"/>
      <w:marBottom w:val="0"/>
      <w:divBdr>
        <w:top w:val="none" w:sz="0" w:space="0" w:color="auto"/>
        <w:left w:val="none" w:sz="0" w:space="0" w:color="auto"/>
        <w:bottom w:val="none" w:sz="0" w:space="0" w:color="auto"/>
        <w:right w:val="none" w:sz="0" w:space="0" w:color="auto"/>
      </w:divBdr>
    </w:div>
    <w:div w:id="1568418143">
      <w:bodyDiv w:val="1"/>
      <w:marLeft w:val="0"/>
      <w:marRight w:val="0"/>
      <w:marTop w:val="0"/>
      <w:marBottom w:val="0"/>
      <w:divBdr>
        <w:top w:val="none" w:sz="0" w:space="0" w:color="auto"/>
        <w:left w:val="none" w:sz="0" w:space="0" w:color="auto"/>
        <w:bottom w:val="none" w:sz="0" w:space="0" w:color="auto"/>
        <w:right w:val="none" w:sz="0" w:space="0" w:color="auto"/>
      </w:divBdr>
    </w:div>
    <w:div w:id="1595092371">
      <w:bodyDiv w:val="1"/>
      <w:marLeft w:val="0"/>
      <w:marRight w:val="0"/>
      <w:marTop w:val="0"/>
      <w:marBottom w:val="0"/>
      <w:divBdr>
        <w:top w:val="none" w:sz="0" w:space="0" w:color="auto"/>
        <w:left w:val="none" w:sz="0" w:space="0" w:color="auto"/>
        <w:bottom w:val="none" w:sz="0" w:space="0" w:color="auto"/>
        <w:right w:val="none" w:sz="0" w:space="0" w:color="auto"/>
      </w:divBdr>
    </w:div>
    <w:div w:id="1794786215">
      <w:bodyDiv w:val="1"/>
      <w:marLeft w:val="0"/>
      <w:marRight w:val="0"/>
      <w:marTop w:val="0"/>
      <w:marBottom w:val="0"/>
      <w:divBdr>
        <w:top w:val="none" w:sz="0" w:space="0" w:color="auto"/>
        <w:left w:val="none" w:sz="0" w:space="0" w:color="auto"/>
        <w:bottom w:val="none" w:sz="0" w:space="0" w:color="auto"/>
        <w:right w:val="none" w:sz="0" w:space="0" w:color="auto"/>
      </w:divBdr>
    </w:div>
    <w:div w:id="2058434340">
      <w:bodyDiv w:val="1"/>
      <w:marLeft w:val="0"/>
      <w:marRight w:val="0"/>
      <w:marTop w:val="0"/>
      <w:marBottom w:val="0"/>
      <w:divBdr>
        <w:top w:val="none" w:sz="0" w:space="0" w:color="auto"/>
        <w:left w:val="none" w:sz="0" w:space="0" w:color="auto"/>
        <w:bottom w:val="none" w:sz="0" w:space="0" w:color="auto"/>
        <w:right w:val="none" w:sz="0" w:space="0" w:color="auto"/>
      </w:divBdr>
    </w:div>
    <w:div w:id="2065331505">
      <w:bodyDiv w:val="1"/>
      <w:marLeft w:val="0"/>
      <w:marRight w:val="0"/>
      <w:marTop w:val="0"/>
      <w:marBottom w:val="0"/>
      <w:divBdr>
        <w:top w:val="none" w:sz="0" w:space="0" w:color="auto"/>
        <w:left w:val="none" w:sz="0" w:space="0" w:color="auto"/>
        <w:bottom w:val="none" w:sz="0" w:space="0" w:color="auto"/>
        <w:right w:val="none" w:sz="0" w:space="0" w:color="auto"/>
      </w:divBdr>
    </w:div>
    <w:div w:id="207461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ne.hay\AppData\Local\Microsoft\Windows\Temporary%20Internet%20Files\Content.IE5\LO5UEJC1\hscreport%5b1%5d.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undeecitygovuk.sharepoint.com/sites/SPInformation/Shared%20Documents/General/Performance%20&amp;%20Planning%20Reporting/APR%202023_24/National%20Indicators/core_suite_integration_indicators_july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undeecitygovuk.sharepoint.com/sites/SPInformation/Shared%20Documents/General/Performance%20&amp;%20Planning%20Reporting/APR%202023_24/National%20Indicators/core_suite_integration_indicators_july202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2023_24%20May%20Discharge%20Management/Data%20for%20Delay%20Discharge%20PAC%20Aug%2024%20(1).xl"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2023_24%20May%20Discharge%20Management/Data%20for%20Delay%20Discharge%20PAC%20Aug%2024%20(1).xl"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https://dundeecitygovuk-my.sharepoint.com/personal/joanna_henderson_dundeecity_gov_uk/Documents/Data%20for%20Delay%20Discharge%20PAC%20Aug%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12156504634914"/>
          <c:y val="9.7327866696401505E-2"/>
          <c:w val="0.82928783902012249"/>
          <c:h val="0.62739639026603156"/>
        </c:manualLayout>
      </c:layout>
      <c:barChart>
        <c:barDir val="col"/>
        <c:grouping val="clustered"/>
        <c:varyColors val="0"/>
        <c:ser>
          <c:idx val="0"/>
          <c:order val="0"/>
          <c:tx>
            <c:strRef>
              <c:f>Lookups!$I$35</c:f>
              <c:strCache>
                <c:ptCount val="1"/>
                <c:pt idx="0">
                  <c:v>Value</c:v>
                </c:pt>
              </c:strCache>
            </c:strRef>
          </c:tx>
          <c:spPr>
            <a:solidFill>
              <a:srgbClr val="A591BD"/>
            </a:solidFill>
          </c:spPr>
          <c:invertIfNegative val="0"/>
          <c:cat>
            <c:strRef>
              <c:f>Lookups!$H$36:$H$66</c:f>
              <c:strCache>
                <c:ptCount val="31"/>
                <c:pt idx="0">
                  <c:v>South Ayrshire</c:v>
                </c:pt>
                <c:pt idx="1">
                  <c:v>Highland</c:v>
                </c:pt>
                <c:pt idx="2">
                  <c:v>Scottish Borders</c:v>
                </c:pt>
                <c:pt idx="3">
                  <c:v>Western Isles</c:v>
                </c:pt>
                <c:pt idx="4">
                  <c:v>West Dunbartonshire</c:v>
                </c:pt>
                <c:pt idx="5">
                  <c:v>Dumfries and Galloway</c:v>
                </c:pt>
                <c:pt idx="6">
                  <c:v>Falkirk</c:v>
                </c:pt>
                <c:pt idx="7">
                  <c:v>North Ayrshire</c:v>
                </c:pt>
                <c:pt idx="8">
                  <c:v>Edinburgh</c:v>
                </c:pt>
                <c:pt idx="9">
                  <c:v>South Lanarkshire</c:v>
                </c:pt>
                <c:pt idx="10">
                  <c:v>Orkney Islands</c:v>
                </c:pt>
                <c:pt idx="11">
                  <c:v>Moray</c:v>
                </c:pt>
                <c:pt idx="12">
                  <c:v>North Lanarkshire</c:v>
                </c:pt>
                <c:pt idx="13">
                  <c:v>Glasgow City</c:v>
                </c:pt>
                <c:pt idx="14">
                  <c:v>Argyll and Bute</c:v>
                </c:pt>
                <c:pt idx="15">
                  <c:v>West Lothian</c:v>
                </c:pt>
                <c:pt idx="16">
                  <c:v>Clackmannanshire and Stirling</c:v>
                </c:pt>
                <c:pt idx="17">
                  <c:v>East Ayrshire</c:v>
                </c:pt>
                <c:pt idx="18">
                  <c:v>Fife</c:v>
                </c:pt>
                <c:pt idx="19">
                  <c:v>Aberdeenshire</c:v>
                </c:pt>
                <c:pt idx="20">
                  <c:v>Perth and Kinross</c:v>
                </c:pt>
                <c:pt idx="21">
                  <c:v>Midlothian</c:v>
                </c:pt>
                <c:pt idx="22">
                  <c:v>Inverclyde</c:v>
                </c:pt>
                <c:pt idx="23">
                  <c:v>Shetland Islands</c:v>
                </c:pt>
                <c:pt idx="24">
                  <c:v>East Dunbartonshire</c:v>
                </c:pt>
                <c:pt idx="25">
                  <c:v>Dundee City</c:v>
                </c:pt>
                <c:pt idx="26">
                  <c:v>East Renfrewshire</c:v>
                </c:pt>
                <c:pt idx="27">
                  <c:v>East Lothian</c:v>
                </c:pt>
                <c:pt idx="28">
                  <c:v>Aberdeen City</c:v>
                </c:pt>
                <c:pt idx="29">
                  <c:v>Angus</c:v>
                </c:pt>
                <c:pt idx="30">
                  <c:v>Renfrewshire</c:v>
                </c:pt>
              </c:strCache>
            </c:strRef>
          </c:cat>
          <c:val>
            <c:numRef>
              <c:f>Lookups!$I$36:$I$66</c:f>
              <c:numCache>
                <c:formatCode>0</c:formatCode>
                <c:ptCount val="31"/>
                <c:pt idx="0">
                  <c:v>1942.621733966746</c:v>
                </c:pt>
                <c:pt idx="1">
                  <c:v>1875.7004791683589</c:v>
                </c:pt>
                <c:pt idx="2">
                  <c:v>1604.895369041323</c:v>
                </c:pt>
                <c:pt idx="3">
                  <c:v>1477.8519417475729</c:v>
                </c:pt>
                <c:pt idx="4">
                  <c:v>1327.3561301084239</c:v>
                </c:pt>
                <c:pt idx="5">
                  <c:v>1303.704111398536</c:v>
                </c:pt>
                <c:pt idx="6">
                  <c:v>1282.623095606094</c:v>
                </c:pt>
                <c:pt idx="7">
                  <c:v>1087.314302359453</c:v>
                </c:pt>
                <c:pt idx="8">
                  <c:v>1087.0305322885711</c:v>
                </c:pt>
                <c:pt idx="9">
                  <c:v>1007.687906743903</c:v>
                </c:pt>
                <c:pt idx="10">
                  <c:v>1001.935733643051</c:v>
                </c:pt>
                <c:pt idx="11">
                  <c:v>979.83057684550226</c:v>
                </c:pt>
                <c:pt idx="12">
                  <c:v>972.85436893203882</c:v>
                </c:pt>
                <c:pt idx="13">
                  <c:v>961.81460405254484</c:v>
                </c:pt>
                <c:pt idx="14">
                  <c:v>912.4414976599063</c:v>
                </c:pt>
                <c:pt idx="15">
                  <c:v>870.68070591724756</c:v>
                </c:pt>
                <c:pt idx="16">
                  <c:v>814.27278213639113</c:v>
                </c:pt>
                <c:pt idx="17">
                  <c:v>699.82800760387431</c:v>
                </c:pt>
                <c:pt idx="18">
                  <c:v>680.71216617210689</c:v>
                </c:pt>
                <c:pt idx="19">
                  <c:v>667.35050196420775</c:v>
                </c:pt>
                <c:pt idx="20">
                  <c:v>664.48852136702703</c:v>
                </c:pt>
                <c:pt idx="21">
                  <c:v>638.63049095607244</c:v>
                </c:pt>
                <c:pt idx="22">
                  <c:v>553.81967430160205</c:v>
                </c:pt>
                <c:pt idx="23">
                  <c:v>452.38095238095241</c:v>
                </c:pt>
                <c:pt idx="24">
                  <c:v>444.13712178358901</c:v>
                </c:pt>
                <c:pt idx="25">
                  <c:v>428.34916475597771</c:v>
                </c:pt>
                <c:pt idx="26">
                  <c:v>390.75942644715877</c:v>
                </c:pt>
                <c:pt idx="27">
                  <c:v>238.2508409418549</c:v>
                </c:pt>
                <c:pt idx="28">
                  <c:v>220.04370523248761</c:v>
                </c:pt>
                <c:pt idx="29">
                  <c:v>165.69633828711511</c:v>
                </c:pt>
                <c:pt idx="30">
                  <c:v>149.5687990732398</c:v>
                </c:pt>
              </c:numCache>
            </c:numRef>
          </c:val>
          <c:extLst>
            <c:ext xmlns:c16="http://schemas.microsoft.com/office/drawing/2014/chart" uri="{C3380CC4-5D6E-409C-BE32-E72D297353CC}">
              <c16:uniqueId val="{00000000-3BFF-4C46-A9AE-6B5DEA70632A}"/>
            </c:ext>
          </c:extLst>
        </c:ser>
        <c:ser>
          <c:idx val="1"/>
          <c:order val="1"/>
          <c:tx>
            <c:strRef>
              <c:f>Lookups!$J$35</c:f>
              <c:strCache>
                <c:ptCount val="1"/>
                <c:pt idx="0">
                  <c:v>Highlight</c:v>
                </c:pt>
              </c:strCache>
            </c:strRef>
          </c:tx>
          <c:spPr>
            <a:solidFill>
              <a:schemeClr val="tx2">
                <a:lumMod val="75000"/>
              </a:schemeClr>
            </a:solidFill>
          </c:spPr>
          <c:invertIfNegative val="0"/>
          <c:cat>
            <c:strRef>
              <c:f>Lookups!$H$36:$H$66</c:f>
              <c:strCache>
                <c:ptCount val="31"/>
                <c:pt idx="0">
                  <c:v>South Ayrshire</c:v>
                </c:pt>
                <c:pt idx="1">
                  <c:v>Highland</c:v>
                </c:pt>
                <c:pt idx="2">
                  <c:v>Scottish Borders</c:v>
                </c:pt>
                <c:pt idx="3">
                  <c:v>Western Isles</c:v>
                </c:pt>
                <c:pt idx="4">
                  <c:v>West Dunbartonshire</c:v>
                </c:pt>
                <c:pt idx="5">
                  <c:v>Dumfries and Galloway</c:v>
                </c:pt>
                <c:pt idx="6">
                  <c:v>Falkirk</c:v>
                </c:pt>
                <c:pt idx="7">
                  <c:v>North Ayrshire</c:v>
                </c:pt>
                <c:pt idx="8">
                  <c:v>Edinburgh</c:v>
                </c:pt>
                <c:pt idx="9">
                  <c:v>South Lanarkshire</c:v>
                </c:pt>
                <c:pt idx="10">
                  <c:v>Orkney Islands</c:v>
                </c:pt>
                <c:pt idx="11">
                  <c:v>Moray</c:v>
                </c:pt>
                <c:pt idx="12">
                  <c:v>North Lanarkshire</c:v>
                </c:pt>
                <c:pt idx="13">
                  <c:v>Glasgow City</c:v>
                </c:pt>
                <c:pt idx="14">
                  <c:v>Argyll and Bute</c:v>
                </c:pt>
                <c:pt idx="15">
                  <c:v>West Lothian</c:v>
                </c:pt>
                <c:pt idx="16">
                  <c:v>Clackmannanshire and Stirling</c:v>
                </c:pt>
                <c:pt idx="17">
                  <c:v>East Ayrshire</c:v>
                </c:pt>
                <c:pt idx="18">
                  <c:v>Fife</c:v>
                </c:pt>
                <c:pt idx="19">
                  <c:v>Aberdeenshire</c:v>
                </c:pt>
                <c:pt idx="20">
                  <c:v>Perth and Kinross</c:v>
                </c:pt>
                <c:pt idx="21">
                  <c:v>Midlothian</c:v>
                </c:pt>
                <c:pt idx="22">
                  <c:v>Inverclyde</c:v>
                </c:pt>
                <c:pt idx="23">
                  <c:v>Shetland Islands</c:v>
                </c:pt>
                <c:pt idx="24">
                  <c:v>East Dunbartonshire</c:v>
                </c:pt>
                <c:pt idx="25">
                  <c:v>Dundee City</c:v>
                </c:pt>
                <c:pt idx="26">
                  <c:v>East Renfrewshire</c:v>
                </c:pt>
                <c:pt idx="27">
                  <c:v>East Lothian</c:v>
                </c:pt>
                <c:pt idx="28">
                  <c:v>Aberdeen City</c:v>
                </c:pt>
                <c:pt idx="29">
                  <c:v>Angus</c:v>
                </c:pt>
                <c:pt idx="30">
                  <c:v>Renfrewshire</c:v>
                </c:pt>
              </c:strCache>
            </c:strRef>
          </c:cat>
          <c:val>
            <c:numRef>
              <c:f>Lookups!$J$36:$J$66</c:f>
              <c:numCache>
                <c:formatCode>0</c:formatCode>
                <c:ptCount val="31"/>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428.34916475597771</c:v>
                </c:pt>
                <c:pt idx="26">
                  <c:v>#N/A</c:v>
                </c:pt>
                <c:pt idx="27">
                  <c:v>#N/A</c:v>
                </c:pt>
                <c:pt idx="28">
                  <c:v>#N/A</c:v>
                </c:pt>
                <c:pt idx="29">
                  <c:v>#N/A</c:v>
                </c:pt>
                <c:pt idx="30">
                  <c:v>#N/A</c:v>
                </c:pt>
              </c:numCache>
            </c:numRef>
          </c:val>
          <c:extLst>
            <c:ext xmlns:c16="http://schemas.microsoft.com/office/drawing/2014/chart" uri="{C3380CC4-5D6E-409C-BE32-E72D297353CC}">
              <c16:uniqueId val="{00000001-3BFF-4C46-A9AE-6B5DEA70632A}"/>
            </c:ext>
          </c:extLst>
        </c:ser>
        <c:dLbls>
          <c:showLegendKey val="0"/>
          <c:showVal val="0"/>
          <c:showCatName val="0"/>
          <c:showSerName val="0"/>
          <c:showPercent val="0"/>
          <c:showBubbleSize val="0"/>
        </c:dLbls>
        <c:gapWidth val="103"/>
        <c:overlap val="100"/>
        <c:axId val="253079552"/>
        <c:axId val="253081088"/>
      </c:barChart>
      <c:lineChart>
        <c:grouping val="standard"/>
        <c:varyColors val="0"/>
        <c:ser>
          <c:idx val="2"/>
          <c:order val="2"/>
          <c:tx>
            <c:strRef>
              <c:f>Lookups!$K$35</c:f>
              <c:strCache>
                <c:ptCount val="1"/>
                <c:pt idx="0">
                  <c:v>Scotland</c:v>
                </c:pt>
              </c:strCache>
            </c:strRef>
          </c:tx>
          <c:spPr>
            <a:ln w="28575">
              <a:solidFill>
                <a:srgbClr val="E46C0A"/>
              </a:solidFill>
            </a:ln>
          </c:spPr>
          <c:marker>
            <c:symbol val="none"/>
          </c:marker>
          <c:val>
            <c:numRef>
              <c:f>Lookups!$K$36:$K$66</c:f>
              <c:numCache>
                <c:formatCode>0</c:formatCode>
                <c:ptCount val="31"/>
                <c:pt idx="0">
                  <c:v>902.0747130882761</c:v>
                </c:pt>
                <c:pt idx="1">
                  <c:v>902.0747130882761</c:v>
                </c:pt>
                <c:pt idx="2">
                  <c:v>902.0747130882761</c:v>
                </c:pt>
                <c:pt idx="3">
                  <c:v>902.0747130882761</c:v>
                </c:pt>
                <c:pt idx="4">
                  <c:v>902.0747130882761</c:v>
                </c:pt>
                <c:pt idx="5">
                  <c:v>902.0747130882761</c:v>
                </c:pt>
                <c:pt idx="6">
                  <c:v>902.0747130882761</c:v>
                </c:pt>
                <c:pt idx="7">
                  <c:v>902.0747130882761</c:v>
                </c:pt>
                <c:pt idx="8">
                  <c:v>902.0747130882761</c:v>
                </c:pt>
                <c:pt idx="9">
                  <c:v>902.0747130882761</c:v>
                </c:pt>
                <c:pt idx="10">
                  <c:v>902.0747130882761</c:v>
                </c:pt>
                <c:pt idx="11">
                  <c:v>902.0747130882761</c:v>
                </c:pt>
                <c:pt idx="12">
                  <c:v>902.0747130882761</c:v>
                </c:pt>
                <c:pt idx="13">
                  <c:v>902.0747130882761</c:v>
                </c:pt>
                <c:pt idx="14">
                  <c:v>902.0747130882761</c:v>
                </c:pt>
                <c:pt idx="15">
                  <c:v>902.0747130882761</c:v>
                </c:pt>
                <c:pt idx="16">
                  <c:v>902.0747130882761</c:v>
                </c:pt>
                <c:pt idx="17">
                  <c:v>902.0747130882761</c:v>
                </c:pt>
                <c:pt idx="18">
                  <c:v>902.0747130882761</c:v>
                </c:pt>
                <c:pt idx="19">
                  <c:v>902.0747130882761</c:v>
                </c:pt>
                <c:pt idx="20">
                  <c:v>902.0747130882761</c:v>
                </c:pt>
                <c:pt idx="21">
                  <c:v>902.0747130882761</c:v>
                </c:pt>
                <c:pt idx="22">
                  <c:v>902.0747130882761</c:v>
                </c:pt>
                <c:pt idx="23">
                  <c:v>902.0747130882761</c:v>
                </c:pt>
                <c:pt idx="24">
                  <c:v>902.0747130882761</c:v>
                </c:pt>
                <c:pt idx="25">
                  <c:v>902.0747130882761</c:v>
                </c:pt>
                <c:pt idx="26">
                  <c:v>902.0747130882761</c:v>
                </c:pt>
                <c:pt idx="27">
                  <c:v>902.0747130882761</c:v>
                </c:pt>
                <c:pt idx="28">
                  <c:v>902.0747130882761</c:v>
                </c:pt>
                <c:pt idx="29">
                  <c:v>902.0747130882761</c:v>
                </c:pt>
                <c:pt idx="30">
                  <c:v>902.0747130882761</c:v>
                </c:pt>
              </c:numCache>
            </c:numRef>
          </c:val>
          <c:smooth val="0"/>
          <c:extLst>
            <c:ext xmlns:c16="http://schemas.microsoft.com/office/drawing/2014/chart" uri="{C3380CC4-5D6E-409C-BE32-E72D297353CC}">
              <c16:uniqueId val="{00000002-3BFF-4C46-A9AE-6B5DEA70632A}"/>
            </c:ext>
          </c:extLst>
        </c:ser>
        <c:dLbls>
          <c:showLegendKey val="0"/>
          <c:showVal val="0"/>
          <c:showCatName val="0"/>
          <c:showSerName val="0"/>
          <c:showPercent val="0"/>
          <c:showBubbleSize val="0"/>
        </c:dLbls>
        <c:marker val="1"/>
        <c:smooth val="0"/>
        <c:axId val="253079552"/>
        <c:axId val="253081088"/>
      </c:lineChart>
      <c:catAx>
        <c:axId val="253079552"/>
        <c:scaling>
          <c:orientation val="minMax"/>
        </c:scaling>
        <c:delete val="0"/>
        <c:axPos val="b"/>
        <c:numFmt formatCode="General" sourceLinked="1"/>
        <c:majorTickMark val="out"/>
        <c:minorTickMark val="none"/>
        <c:tickLblPos val="nextTo"/>
        <c:txPr>
          <a:bodyPr rot="2700000" vert="horz"/>
          <a:lstStyle/>
          <a:p>
            <a:pPr>
              <a:defRPr sz="600"/>
            </a:pPr>
            <a:endParaRPr lang="en-US"/>
          </a:p>
        </c:txPr>
        <c:crossAx val="253081088"/>
        <c:crosses val="autoZero"/>
        <c:auto val="1"/>
        <c:lblAlgn val="ctr"/>
        <c:lblOffset val="100"/>
        <c:noMultiLvlLbl val="0"/>
      </c:catAx>
      <c:valAx>
        <c:axId val="253081088"/>
        <c:scaling>
          <c:orientation val="minMax"/>
        </c:scaling>
        <c:delete val="0"/>
        <c:axPos val="l"/>
        <c:majorGridlines>
          <c:spPr>
            <a:ln>
              <a:solidFill>
                <a:schemeClr val="bg1">
                  <a:lumMod val="65000"/>
                </a:schemeClr>
              </a:solidFill>
              <a:prstDash val="sysDash"/>
            </a:ln>
          </c:spPr>
        </c:majorGridlines>
        <c:title>
          <c:tx>
            <c:strRef>
              <c:f>Lookups!$I$16</c:f>
              <c:strCache>
                <c:ptCount val="1"/>
                <c:pt idx="0">
                  <c:v>Rate per 1,000 population</c:v>
                </c:pt>
              </c:strCache>
            </c:strRef>
          </c:tx>
          <c:layout>
            <c:manualLayout>
              <c:xMode val="edge"/>
              <c:yMode val="edge"/>
              <c:x val="2.0555252222840461E-3"/>
              <c:y val="0.10965334126262537"/>
            </c:manualLayout>
          </c:layout>
          <c:overlay val="0"/>
          <c:txPr>
            <a:bodyPr rot="-5400000" vert="horz"/>
            <a:lstStyle/>
            <a:p>
              <a:pPr>
                <a:defRPr/>
              </a:pPr>
              <a:endParaRPr lang="en-US"/>
            </a:p>
          </c:txPr>
        </c:title>
        <c:numFmt formatCode="#,##0" sourceLinked="0"/>
        <c:majorTickMark val="out"/>
        <c:minorTickMark val="none"/>
        <c:tickLblPos val="nextTo"/>
        <c:crossAx val="253079552"/>
        <c:crosses val="autoZero"/>
        <c:crossBetween val="between"/>
      </c:valAx>
    </c:plotArea>
    <c:legend>
      <c:legendPos val="b"/>
      <c:legendEntry>
        <c:idx val="0"/>
        <c:delete val="1"/>
      </c:legendEntry>
      <c:legendEntry>
        <c:idx val="1"/>
        <c:delete val="1"/>
      </c:legendEntry>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Lookups!$A$71</c:f>
              <c:strCache>
                <c:ptCount val="1"/>
                <c:pt idx="0">
                  <c:v>Dundee City</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Lookups!$B$70:$I$70</c:f>
              <c:strCache>
                <c:ptCount val="8"/>
                <c:pt idx="0">
                  <c:v>2016/17</c:v>
                </c:pt>
                <c:pt idx="1">
                  <c:v>2017/18</c:v>
                </c:pt>
                <c:pt idx="2">
                  <c:v>2018/19</c:v>
                </c:pt>
                <c:pt idx="3">
                  <c:v>2019/20</c:v>
                </c:pt>
                <c:pt idx="4">
                  <c:v>2020/21</c:v>
                </c:pt>
                <c:pt idx="5">
                  <c:v>2021/22</c:v>
                </c:pt>
                <c:pt idx="6">
                  <c:v>2022/23</c:v>
                </c:pt>
                <c:pt idx="7">
                  <c:v>2023/24</c:v>
                </c:pt>
              </c:strCache>
            </c:strRef>
          </c:cat>
          <c:val>
            <c:numRef>
              <c:f>Lookups!$B$71:$I$71</c:f>
              <c:numCache>
                <c:formatCode>0.0</c:formatCode>
                <c:ptCount val="8"/>
                <c:pt idx="0">
                  <c:v>753.70728562217926</c:v>
                </c:pt>
                <c:pt idx="1">
                  <c:v>349.21665719620103</c:v>
                </c:pt>
                <c:pt idx="2">
                  <c:v>372.17860647693823</c:v>
                </c:pt>
                <c:pt idx="3">
                  <c:v>443.26703619171832</c:v>
                </c:pt>
                <c:pt idx="4">
                  <c:v>326.80276588738889</c:v>
                </c:pt>
                <c:pt idx="5">
                  <c:v>795.20144120537168</c:v>
                </c:pt>
                <c:pt idx="6">
                  <c:v>801.99803471994755</c:v>
                </c:pt>
                <c:pt idx="7">
                  <c:v>428.34916475597771</c:v>
                </c:pt>
              </c:numCache>
            </c:numRef>
          </c:val>
          <c:smooth val="0"/>
          <c:extLst>
            <c:ext xmlns:c16="http://schemas.microsoft.com/office/drawing/2014/chart" uri="{C3380CC4-5D6E-409C-BE32-E72D297353CC}">
              <c16:uniqueId val="{00000000-B21C-49C3-9359-1FF3B99333A3}"/>
            </c:ext>
          </c:extLst>
        </c:ser>
        <c:ser>
          <c:idx val="1"/>
          <c:order val="1"/>
          <c:tx>
            <c:strRef>
              <c:f>Lookups!$A$72</c:f>
              <c:strCache>
                <c:ptCount val="1"/>
                <c:pt idx="0">
                  <c:v>Scotland</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Lookups!$B$70:$I$70</c:f>
              <c:strCache>
                <c:ptCount val="8"/>
                <c:pt idx="0">
                  <c:v>2016/17</c:v>
                </c:pt>
                <c:pt idx="1">
                  <c:v>2017/18</c:v>
                </c:pt>
                <c:pt idx="2">
                  <c:v>2018/19</c:v>
                </c:pt>
                <c:pt idx="3">
                  <c:v>2019/20</c:v>
                </c:pt>
                <c:pt idx="4">
                  <c:v>2020/21</c:v>
                </c:pt>
                <c:pt idx="5">
                  <c:v>2021/22</c:v>
                </c:pt>
                <c:pt idx="6">
                  <c:v>2022/23</c:v>
                </c:pt>
                <c:pt idx="7">
                  <c:v>2023/24</c:v>
                </c:pt>
              </c:strCache>
            </c:strRef>
          </c:cat>
          <c:val>
            <c:numRef>
              <c:f>Lookups!$B$72:$I$72</c:f>
              <c:numCache>
                <c:formatCode>0.0</c:formatCode>
                <c:ptCount val="8"/>
                <c:pt idx="0">
                  <c:v>840.56847136278031</c:v>
                </c:pt>
                <c:pt idx="1">
                  <c:v>762.18773090222362</c:v>
                </c:pt>
                <c:pt idx="2">
                  <c:v>792.94799619999299</c:v>
                </c:pt>
                <c:pt idx="3">
                  <c:v>774.36271721280684</c:v>
                </c:pt>
                <c:pt idx="4">
                  <c:v>484.28217795439502</c:v>
                </c:pt>
                <c:pt idx="5">
                  <c:v>747.92330063999771</c:v>
                </c:pt>
                <c:pt idx="6">
                  <c:v>919.30091598488764</c:v>
                </c:pt>
                <c:pt idx="7">
                  <c:v>902.0747130882761</c:v>
                </c:pt>
              </c:numCache>
            </c:numRef>
          </c:val>
          <c:smooth val="0"/>
          <c:extLst>
            <c:ext xmlns:c16="http://schemas.microsoft.com/office/drawing/2014/chart" uri="{C3380CC4-5D6E-409C-BE32-E72D297353CC}">
              <c16:uniqueId val="{00000001-B21C-49C3-9359-1FF3B99333A3}"/>
            </c:ext>
          </c:extLst>
        </c:ser>
        <c:dLbls>
          <c:showLegendKey val="0"/>
          <c:showVal val="1"/>
          <c:showCatName val="0"/>
          <c:showSerName val="0"/>
          <c:showPercent val="0"/>
          <c:showBubbleSize val="0"/>
        </c:dLbls>
        <c:marker val="1"/>
        <c:smooth val="0"/>
        <c:axId val="256449536"/>
        <c:axId val="256480000"/>
      </c:lineChart>
      <c:lineChart>
        <c:grouping val="standard"/>
        <c:varyColors val="0"/>
        <c:ser>
          <c:idx val="2"/>
          <c:order val="2"/>
          <c:tx>
            <c:strRef>
              <c:f>Lookups!$A$73</c:f>
              <c:strCache>
                <c:ptCount val="1"/>
                <c:pt idx="0">
                  <c:v>Please see note below regarding changes to definitions in July 2016 - will affect comparability of figures before and after this point</c:v>
                </c:pt>
              </c:strCache>
            </c:strRef>
          </c:tx>
          <c:spPr>
            <a:ln>
              <a:solidFill>
                <a:schemeClr val="tx1">
                  <a:alpha val="98000"/>
                </a:schemeClr>
              </a:solidFill>
            </a:ln>
          </c:spPr>
          <c:marker>
            <c:symbol val="none"/>
          </c:marker>
          <c:dLbls>
            <c:delete val="1"/>
          </c:dLbls>
          <c:cat>
            <c:strRef>
              <c:f>Lookups!$C$70:$I$70</c:f>
              <c:strCache>
                <c:ptCount val="7"/>
                <c:pt idx="0">
                  <c:v>2017/18</c:v>
                </c:pt>
                <c:pt idx="1">
                  <c:v>2018/19</c:v>
                </c:pt>
                <c:pt idx="2">
                  <c:v>2019/20</c:v>
                </c:pt>
                <c:pt idx="3">
                  <c:v>2020/21</c:v>
                </c:pt>
                <c:pt idx="4">
                  <c:v>2021/22</c:v>
                </c:pt>
                <c:pt idx="5">
                  <c:v>2022/23</c:v>
                </c:pt>
                <c:pt idx="6">
                  <c:v>2023/24</c:v>
                </c:pt>
              </c:strCache>
            </c:strRef>
          </c:cat>
          <c:val>
            <c:numRef>
              <c:f>Lookups!$B$73:$H$73</c:f>
              <c:numCache>
                <c:formatCode>0.0</c:formatCode>
                <c:ptCount val="7"/>
                <c:pt idx="1">
                  <c:v>1</c:v>
                </c:pt>
              </c:numCache>
            </c:numRef>
          </c:val>
          <c:smooth val="0"/>
          <c:extLst>
            <c:ext xmlns:c16="http://schemas.microsoft.com/office/drawing/2014/chart" uri="{C3380CC4-5D6E-409C-BE32-E72D297353CC}">
              <c16:uniqueId val="{00000002-B21C-49C3-9359-1FF3B99333A3}"/>
            </c:ext>
          </c:extLst>
        </c:ser>
        <c:dLbls>
          <c:showLegendKey val="0"/>
          <c:showVal val="1"/>
          <c:showCatName val="0"/>
          <c:showSerName val="0"/>
          <c:showPercent val="0"/>
          <c:showBubbleSize val="0"/>
        </c:dLbls>
        <c:marker val="1"/>
        <c:smooth val="0"/>
        <c:axId val="399788704"/>
        <c:axId val="399789032"/>
      </c:lineChart>
      <c:catAx>
        <c:axId val="256449536"/>
        <c:scaling>
          <c:orientation val="minMax"/>
        </c:scaling>
        <c:delete val="0"/>
        <c:axPos val="b"/>
        <c:numFmt formatCode="General" sourceLinked="0"/>
        <c:majorTickMark val="out"/>
        <c:minorTickMark val="none"/>
        <c:tickLblPos val="nextTo"/>
        <c:crossAx val="256480000"/>
        <c:crosses val="autoZero"/>
        <c:auto val="1"/>
        <c:lblAlgn val="ctr"/>
        <c:lblOffset val="100"/>
        <c:noMultiLvlLbl val="0"/>
      </c:catAx>
      <c:valAx>
        <c:axId val="256480000"/>
        <c:scaling>
          <c:orientation val="minMax"/>
          <c:min val="0"/>
        </c:scaling>
        <c:delete val="0"/>
        <c:axPos val="l"/>
        <c:majorGridlines>
          <c:spPr>
            <a:ln>
              <a:solidFill>
                <a:sysClr val="window" lastClr="FFFFFF">
                  <a:lumMod val="65000"/>
                </a:sysClr>
              </a:solidFill>
              <a:prstDash val="sysDash"/>
            </a:ln>
          </c:spPr>
        </c:majorGridlines>
        <c:title>
          <c:tx>
            <c:strRef>
              <c:f>Lookups!$I$16</c:f>
              <c:strCache>
                <c:ptCount val="1"/>
                <c:pt idx="0">
                  <c:v>Rate per 1,000 population</c:v>
                </c:pt>
              </c:strCache>
            </c:strRef>
          </c:tx>
          <c:overlay val="0"/>
          <c:txPr>
            <a:bodyPr rot="-5400000" vert="horz"/>
            <a:lstStyle/>
            <a:p>
              <a:pPr>
                <a:defRPr/>
              </a:pPr>
              <a:endParaRPr lang="en-US"/>
            </a:p>
          </c:txPr>
        </c:title>
        <c:numFmt formatCode="#,##0" sourceLinked="0"/>
        <c:majorTickMark val="out"/>
        <c:minorTickMark val="none"/>
        <c:tickLblPos val="nextTo"/>
        <c:crossAx val="256449536"/>
        <c:crosses val="autoZero"/>
        <c:crossBetween val="between"/>
      </c:valAx>
      <c:valAx>
        <c:axId val="399789032"/>
        <c:scaling>
          <c:orientation val="minMax"/>
          <c:max val="1"/>
        </c:scaling>
        <c:delete val="0"/>
        <c:axPos val="r"/>
        <c:numFmt formatCode="0.0" sourceLinked="1"/>
        <c:majorTickMark val="out"/>
        <c:minorTickMark val="none"/>
        <c:tickLblPos val="none"/>
        <c:crossAx val="399788704"/>
        <c:crosses val="max"/>
        <c:crossBetween val="between"/>
      </c:valAx>
      <c:catAx>
        <c:axId val="399788704"/>
        <c:scaling>
          <c:orientation val="minMax"/>
        </c:scaling>
        <c:delete val="1"/>
        <c:axPos val="b"/>
        <c:numFmt formatCode="General" sourceLinked="1"/>
        <c:majorTickMark val="out"/>
        <c:minorTickMark val="none"/>
        <c:tickLblPos val="nextTo"/>
        <c:crossAx val="399789032"/>
        <c:crosses val="autoZero"/>
        <c:auto val="1"/>
        <c:lblAlgn val="ctr"/>
        <c:lblOffset val="100"/>
        <c:noMultiLvlLbl val="0"/>
      </c:catAx>
    </c:plotArea>
    <c:legend>
      <c:legendPos val="b"/>
      <c:legendEntry>
        <c:idx val="2"/>
        <c:delete val="1"/>
      </c:legendEntry>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for Delay Discharge PAC Aug 24 (1).xlsx]Sheet1'!$R$40</c:f>
              <c:strCache>
                <c:ptCount val="1"/>
                <c:pt idx="0">
                  <c:v>Under 75</c:v>
                </c:pt>
              </c:strCache>
            </c:strRef>
          </c:tx>
          <c:spPr>
            <a:ln w="28575" cap="rnd">
              <a:solidFill>
                <a:schemeClr val="accent1"/>
              </a:solidFill>
              <a:round/>
            </a:ln>
            <a:effectLst/>
          </c:spPr>
          <c:marker>
            <c:symbol val="none"/>
          </c:marker>
          <c:cat>
            <c:numRef>
              <c:f>'[Data for Delay Discharge PAC Aug 24 (1).xlsx]Sheet1'!$S$39:$AI$39</c:f>
              <c:numCache>
                <c:formatCode>mmm\-yy</c:formatCode>
                <c:ptCount val="17"/>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numCache>
            </c:numRef>
          </c:cat>
          <c:val>
            <c:numRef>
              <c:f>'[Data for Delay Discharge PAC Aug 24 (1).xlsx]Sheet1'!$S$40:$AI$40</c:f>
              <c:numCache>
                <c:formatCode>General</c:formatCode>
                <c:ptCount val="17"/>
                <c:pt idx="0">
                  <c:v>99</c:v>
                </c:pt>
                <c:pt idx="1">
                  <c:v>71</c:v>
                </c:pt>
                <c:pt idx="2">
                  <c:v>36</c:v>
                </c:pt>
                <c:pt idx="3">
                  <c:v>71</c:v>
                </c:pt>
                <c:pt idx="4">
                  <c:v>55</c:v>
                </c:pt>
                <c:pt idx="5">
                  <c:v>55</c:v>
                </c:pt>
                <c:pt idx="6">
                  <c:v>55</c:v>
                </c:pt>
                <c:pt idx="7">
                  <c:v>21</c:v>
                </c:pt>
                <c:pt idx="8">
                  <c:v>39</c:v>
                </c:pt>
                <c:pt idx="9">
                  <c:v>26</c:v>
                </c:pt>
                <c:pt idx="10">
                  <c:v>26</c:v>
                </c:pt>
                <c:pt idx="11">
                  <c:v>22</c:v>
                </c:pt>
                <c:pt idx="12">
                  <c:v>53</c:v>
                </c:pt>
                <c:pt idx="13">
                  <c:v>30</c:v>
                </c:pt>
                <c:pt idx="14">
                  <c:v>36</c:v>
                </c:pt>
                <c:pt idx="15">
                  <c:v>41</c:v>
                </c:pt>
                <c:pt idx="16">
                  <c:v>40</c:v>
                </c:pt>
              </c:numCache>
            </c:numRef>
          </c:val>
          <c:smooth val="0"/>
          <c:extLst>
            <c:ext xmlns:c16="http://schemas.microsoft.com/office/drawing/2014/chart" uri="{C3380CC4-5D6E-409C-BE32-E72D297353CC}">
              <c16:uniqueId val="{00000000-35C7-4193-86EC-6B376579EA6B}"/>
            </c:ext>
          </c:extLst>
        </c:ser>
        <c:ser>
          <c:idx val="1"/>
          <c:order val="1"/>
          <c:tx>
            <c:strRef>
              <c:f>'[Data for Delay Discharge PAC Aug 24 (1).xlsx]Sheet1'!$R$41</c:f>
              <c:strCache>
                <c:ptCount val="1"/>
                <c:pt idx="0">
                  <c:v>75+</c:v>
                </c:pt>
              </c:strCache>
            </c:strRef>
          </c:tx>
          <c:spPr>
            <a:ln w="28575" cap="rnd">
              <a:solidFill>
                <a:schemeClr val="accent2"/>
              </a:solidFill>
              <a:round/>
            </a:ln>
            <a:effectLst/>
          </c:spPr>
          <c:marker>
            <c:symbol val="none"/>
          </c:marker>
          <c:cat>
            <c:numRef>
              <c:f>'[Data for Delay Discharge PAC Aug 24 (1).xlsx]Sheet1'!$S$39:$AI$39</c:f>
              <c:numCache>
                <c:formatCode>mmm\-yy</c:formatCode>
                <c:ptCount val="17"/>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numCache>
            </c:numRef>
          </c:cat>
          <c:val>
            <c:numRef>
              <c:f>'[Data for Delay Discharge PAC Aug 24 (1).xlsx]Sheet1'!$S$41:$AI$41</c:f>
              <c:numCache>
                <c:formatCode>General</c:formatCode>
                <c:ptCount val="17"/>
                <c:pt idx="0">
                  <c:v>30</c:v>
                </c:pt>
                <c:pt idx="1">
                  <c:v>19</c:v>
                </c:pt>
                <c:pt idx="2">
                  <c:v>26</c:v>
                </c:pt>
                <c:pt idx="3">
                  <c:v>21</c:v>
                </c:pt>
                <c:pt idx="4">
                  <c:v>25</c:v>
                </c:pt>
                <c:pt idx="5">
                  <c:v>16</c:v>
                </c:pt>
                <c:pt idx="6">
                  <c:v>11</c:v>
                </c:pt>
                <c:pt idx="7">
                  <c:v>8</c:v>
                </c:pt>
                <c:pt idx="8">
                  <c:v>8</c:v>
                </c:pt>
                <c:pt idx="9">
                  <c:v>11</c:v>
                </c:pt>
                <c:pt idx="10">
                  <c:v>8</c:v>
                </c:pt>
                <c:pt idx="11">
                  <c:v>7</c:v>
                </c:pt>
                <c:pt idx="12">
                  <c:v>14</c:v>
                </c:pt>
                <c:pt idx="13">
                  <c:v>9</c:v>
                </c:pt>
                <c:pt idx="14">
                  <c:v>18</c:v>
                </c:pt>
                <c:pt idx="15">
                  <c:v>15</c:v>
                </c:pt>
                <c:pt idx="16">
                  <c:v>18</c:v>
                </c:pt>
              </c:numCache>
            </c:numRef>
          </c:val>
          <c:smooth val="0"/>
          <c:extLst>
            <c:ext xmlns:c16="http://schemas.microsoft.com/office/drawing/2014/chart" uri="{C3380CC4-5D6E-409C-BE32-E72D297353CC}">
              <c16:uniqueId val="{00000001-35C7-4193-86EC-6B376579EA6B}"/>
            </c:ext>
          </c:extLst>
        </c:ser>
        <c:ser>
          <c:idx val="2"/>
          <c:order val="2"/>
          <c:tx>
            <c:strRef>
              <c:f>'[Data for Delay Discharge PAC Aug 24 (1).xlsx]Sheet1'!$R$42</c:f>
              <c:strCache>
                <c:ptCount val="1"/>
                <c:pt idx="0">
                  <c:v>Median (Under 75)</c:v>
                </c:pt>
              </c:strCache>
            </c:strRef>
          </c:tx>
          <c:spPr>
            <a:ln w="19050" cap="rnd">
              <a:solidFill>
                <a:srgbClr val="002060"/>
              </a:solidFill>
              <a:prstDash val="sysDash"/>
              <a:round/>
            </a:ln>
            <a:effectLst/>
          </c:spPr>
          <c:marker>
            <c:symbol val="none"/>
          </c:marker>
          <c:cat>
            <c:numRef>
              <c:f>'[Data for Delay Discharge PAC Aug 24 (1).xlsx]Sheet1'!$S$39:$AI$39</c:f>
              <c:numCache>
                <c:formatCode>mmm\-yy</c:formatCode>
                <c:ptCount val="17"/>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numCache>
            </c:numRef>
          </c:cat>
          <c:val>
            <c:numRef>
              <c:f>'[Data for Delay Discharge PAC Aug 24 (1).xlsx]Sheet1'!$S$42:$AI$42</c:f>
              <c:numCache>
                <c:formatCode>General</c:formatCode>
                <c:ptCount val="17"/>
                <c:pt idx="0">
                  <c:v>40</c:v>
                </c:pt>
                <c:pt idx="1">
                  <c:v>40</c:v>
                </c:pt>
                <c:pt idx="2">
                  <c:v>40</c:v>
                </c:pt>
                <c:pt idx="3">
                  <c:v>40</c:v>
                </c:pt>
                <c:pt idx="4">
                  <c:v>40</c:v>
                </c:pt>
                <c:pt idx="5">
                  <c:v>40</c:v>
                </c:pt>
                <c:pt idx="6">
                  <c:v>40</c:v>
                </c:pt>
                <c:pt idx="7">
                  <c:v>40</c:v>
                </c:pt>
                <c:pt idx="8">
                  <c:v>40</c:v>
                </c:pt>
                <c:pt idx="9">
                  <c:v>40</c:v>
                </c:pt>
                <c:pt idx="10">
                  <c:v>40</c:v>
                </c:pt>
                <c:pt idx="11">
                  <c:v>40</c:v>
                </c:pt>
                <c:pt idx="12">
                  <c:v>40</c:v>
                </c:pt>
                <c:pt idx="13">
                  <c:v>40</c:v>
                </c:pt>
                <c:pt idx="14">
                  <c:v>40</c:v>
                </c:pt>
                <c:pt idx="15">
                  <c:v>40</c:v>
                </c:pt>
                <c:pt idx="16">
                  <c:v>40</c:v>
                </c:pt>
              </c:numCache>
            </c:numRef>
          </c:val>
          <c:smooth val="0"/>
          <c:extLst>
            <c:ext xmlns:c16="http://schemas.microsoft.com/office/drawing/2014/chart" uri="{C3380CC4-5D6E-409C-BE32-E72D297353CC}">
              <c16:uniqueId val="{00000002-35C7-4193-86EC-6B376579EA6B}"/>
            </c:ext>
          </c:extLst>
        </c:ser>
        <c:ser>
          <c:idx val="3"/>
          <c:order val="3"/>
          <c:tx>
            <c:strRef>
              <c:f>'[Data for Delay Discharge PAC Aug 24 (1).xlsx]Sheet1'!$R$43</c:f>
              <c:strCache>
                <c:ptCount val="1"/>
                <c:pt idx="0">
                  <c:v>Median (75+)</c:v>
                </c:pt>
              </c:strCache>
            </c:strRef>
          </c:tx>
          <c:spPr>
            <a:ln w="19050" cap="rnd">
              <a:solidFill>
                <a:srgbClr val="C00000"/>
              </a:solidFill>
              <a:prstDash val="sysDash"/>
              <a:round/>
            </a:ln>
            <a:effectLst/>
          </c:spPr>
          <c:marker>
            <c:symbol val="none"/>
          </c:marker>
          <c:cat>
            <c:numRef>
              <c:f>'[Data for Delay Discharge PAC Aug 24 (1).xlsx]Sheet1'!$S$39:$AI$39</c:f>
              <c:numCache>
                <c:formatCode>mmm\-yy</c:formatCode>
                <c:ptCount val="17"/>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pt idx="15">
                  <c:v>45536</c:v>
                </c:pt>
                <c:pt idx="16">
                  <c:v>45566</c:v>
                </c:pt>
              </c:numCache>
            </c:numRef>
          </c:cat>
          <c:val>
            <c:numRef>
              <c:f>'[Data for Delay Discharge PAC Aug 24 (1).xlsx]Sheet1'!$S$43:$AI$43</c:f>
              <c:numCache>
                <c:formatCode>General</c:formatCode>
                <c:ptCount val="17"/>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numCache>
            </c:numRef>
          </c:val>
          <c:smooth val="0"/>
          <c:extLst>
            <c:ext xmlns:c16="http://schemas.microsoft.com/office/drawing/2014/chart" uri="{C3380CC4-5D6E-409C-BE32-E72D297353CC}">
              <c16:uniqueId val="{00000003-35C7-4193-86EC-6B376579EA6B}"/>
            </c:ext>
          </c:extLst>
        </c:ser>
        <c:dLbls>
          <c:showLegendKey val="0"/>
          <c:showVal val="0"/>
          <c:showCatName val="0"/>
          <c:showSerName val="0"/>
          <c:showPercent val="0"/>
          <c:showBubbleSize val="0"/>
        </c:dLbls>
        <c:smooth val="0"/>
        <c:axId val="675902767"/>
        <c:axId val="675903727"/>
      </c:lineChart>
      <c:dateAx>
        <c:axId val="67590276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903727"/>
        <c:crosses val="autoZero"/>
        <c:auto val="1"/>
        <c:lblOffset val="100"/>
        <c:baseTimeUnit val="months"/>
      </c:dateAx>
      <c:valAx>
        <c:axId val="67590372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902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576884785953482E-2"/>
          <c:y val="0.14322614037254036"/>
          <c:w val="0.92435031827918057"/>
          <c:h val="0.63469217125177579"/>
        </c:manualLayout>
      </c:layout>
      <c:barChart>
        <c:barDir val="col"/>
        <c:grouping val="clustered"/>
        <c:varyColors val="0"/>
        <c:ser>
          <c:idx val="0"/>
          <c:order val="0"/>
          <c:tx>
            <c:strRef>
              <c:f>'[Data for Delay Discharge PAC Aug 24 (1).xlsx]Sheet1'!$U$80</c:f>
              <c:strCache>
                <c:ptCount val="1"/>
                <c:pt idx="0">
                  <c:v>Complex</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Delay Discharge PAC Aug 24 (1).xlsx]Sheet1'!$V$78:$AC$79</c:f>
              <c:multiLvlStrCache>
                <c:ptCount val="8"/>
                <c:lvl>
                  <c:pt idx="0">
                    <c:v>Under 75</c:v>
                  </c:pt>
                  <c:pt idx="1">
                    <c:v>75+</c:v>
                  </c:pt>
                  <c:pt idx="2">
                    <c:v>Under 75</c:v>
                  </c:pt>
                  <c:pt idx="3">
                    <c:v>75+</c:v>
                  </c:pt>
                  <c:pt idx="4">
                    <c:v>Under 75</c:v>
                  </c:pt>
                  <c:pt idx="5">
                    <c:v>75+</c:v>
                  </c:pt>
                  <c:pt idx="6">
                    <c:v>Under 75</c:v>
                  </c:pt>
                  <c:pt idx="7">
                    <c:v>75+</c:v>
                  </c:pt>
                </c:lvl>
                <c:lvl>
                  <c:pt idx="0">
                    <c:v>0-7</c:v>
                  </c:pt>
                  <c:pt idx="2">
                    <c:v>8-14</c:v>
                  </c:pt>
                  <c:pt idx="4">
                    <c:v>15-28</c:v>
                  </c:pt>
                  <c:pt idx="6">
                    <c:v>&gt;28</c:v>
                  </c:pt>
                </c:lvl>
              </c:multiLvlStrCache>
            </c:multiLvlStrRef>
          </c:cat>
          <c:val>
            <c:numRef>
              <c:f>'[Data for Delay Discharge PAC Aug 24 (1).xlsx]Sheet1'!$V$80:$AC$80</c:f>
              <c:numCache>
                <c:formatCode>General</c:formatCode>
                <c:ptCount val="8"/>
                <c:pt idx="0">
                  <c:v>18</c:v>
                </c:pt>
                <c:pt idx="1">
                  <c:v>8</c:v>
                </c:pt>
                <c:pt idx="2">
                  <c:v>5</c:v>
                </c:pt>
                <c:pt idx="3">
                  <c:v>0</c:v>
                </c:pt>
                <c:pt idx="4">
                  <c:v>7</c:v>
                </c:pt>
                <c:pt idx="5">
                  <c:v>5</c:v>
                </c:pt>
                <c:pt idx="6">
                  <c:v>20</c:v>
                </c:pt>
                <c:pt idx="7">
                  <c:v>9</c:v>
                </c:pt>
              </c:numCache>
            </c:numRef>
          </c:val>
          <c:extLst>
            <c:ext xmlns:c16="http://schemas.microsoft.com/office/drawing/2014/chart" uri="{C3380CC4-5D6E-409C-BE32-E72D297353CC}">
              <c16:uniqueId val="{00000000-33B6-4697-B2D2-B68F9EC1998A}"/>
            </c:ext>
          </c:extLst>
        </c:ser>
        <c:ser>
          <c:idx val="1"/>
          <c:order val="1"/>
          <c:tx>
            <c:strRef>
              <c:f>'[Data for Delay Discharge PAC Aug 24 (1).xlsx]Sheet1'!$U$81</c:f>
              <c:strCache>
                <c:ptCount val="1"/>
                <c:pt idx="0">
                  <c:v>Non Complex</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Delay Discharge PAC Aug 24 (1).xlsx]Sheet1'!$V$78:$AC$79</c:f>
              <c:multiLvlStrCache>
                <c:ptCount val="8"/>
                <c:lvl>
                  <c:pt idx="0">
                    <c:v>Under 75</c:v>
                  </c:pt>
                  <c:pt idx="1">
                    <c:v>75+</c:v>
                  </c:pt>
                  <c:pt idx="2">
                    <c:v>Under 75</c:v>
                  </c:pt>
                  <c:pt idx="3">
                    <c:v>75+</c:v>
                  </c:pt>
                  <c:pt idx="4">
                    <c:v>Under 75</c:v>
                  </c:pt>
                  <c:pt idx="5">
                    <c:v>75+</c:v>
                  </c:pt>
                  <c:pt idx="6">
                    <c:v>Under 75</c:v>
                  </c:pt>
                  <c:pt idx="7">
                    <c:v>75+</c:v>
                  </c:pt>
                </c:lvl>
                <c:lvl>
                  <c:pt idx="0">
                    <c:v>0-7</c:v>
                  </c:pt>
                  <c:pt idx="2">
                    <c:v>8-14</c:v>
                  </c:pt>
                  <c:pt idx="4">
                    <c:v>15-28</c:v>
                  </c:pt>
                  <c:pt idx="6">
                    <c:v>&gt;28</c:v>
                  </c:pt>
                </c:lvl>
              </c:multiLvlStrCache>
            </c:multiLvlStrRef>
          </c:cat>
          <c:val>
            <c:numRef>
              <c:f>'[Data for Delay Discharge PAC Aug 24 (1).xlsx]Sheet1'!$V$81:$AC$81</c:f>
              <c:numCache>
                <c:formatCode>General</c:formatCode>
                <c:ptCount val="8"/>
                <c:pt idx="0">
                  <c:v>56</c:v>
                </c:pt>
                <c:pt idx="1">
                  <c:v>137</c:v>
                </c:pt>
                <c:pt idx="2">
                  <c:v>14</c:v>
                </c:pt>
                <c:pt idx="3">
                  <c:v>49</c:v>
                </c:pt>
                <c:pt idx="4">
                  <c:v>8</c:v>
                </c:pt>
                <c:pt idx="5">
                  <c:v>34</c:v>
                </c:pt>
                <c:pt idx="6">
                  <c:v>6</c:v>
                </c:pt>
                <c:pt idx="7">
                  <c:v>6</c:v>
                </c:pt>
              </c:numCache>
            </c:numRef>
          </c:val>
          <c:extLst>
            <c:ext xmlns:c16="http://schemas.microsoft.com/office/drawing/2014/chart" uri="{C3380CC4-5D6E-409C-BE32-E72D297353CC}">
              <c16:uniqueId val="{00000001-33B6-4697-B2D2-B68F9EC1998A}"/>
            </c:ext>
          </c:extLst>
        </c:ser>
        <c:dLbls>
          <c:dLblPos val="outEnd"/>
          <c:showLegendKey val="0"/>
          <c:showVal val="1"/>
          <c:showCatName val="0"/>
          <c:showSerName val="0"/>
          <c:showPercent val="0"/>
          <c:showBubbleSize val="0"/>
        </c:dLbls>
        <c:gapWidth val="219"/>
        <c:overlap val="-27"/>
        <c:axId val="502488095"/>
        <c:axId val="502488575"/>
      </c:barChart>
      <c:catAx>
        <c:axId val="502488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488575"/>
        <c:crosses val="autoZero"/>
        <c:auto val="1"/>
        <c:lblAlgn val="ctr"/>
        <c:lblOffset val="100"/>
        <c:noMultiLvlLbl val="0"/>
      </c:catAx>
      <c:valAx>
        <c:axId val="502488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488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for Delay Discharge PAC Aug 24.xlsx]Sheet1'!$U$118</c:f>
              <c:strCache>
                <c:ptCount val="1"/>
                <c:pt idx="0">
                  <c:v>Under 75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Delay Discharge PAC Aug 24.xlsx]Sheet1'!$V$116:$AG$117</c:f>
              <c:multiLvlStrCache>
                <c:ptCount val="12"/>
                <c:lvl>
                  <c:pt idx="0">
                    <c:v>Acute</c:v>
                  </c:pt>
                  <c:pt idx="1">
                    <c:v>Non Acute</c:v>
                  </c:pt>
                  <c:pt idx="2">
                    <c:v>MH</c:v>
                  </c:pt>
                  <c:pt idx="3">
                    <c:v>Acute</c:v>
                  </c:pt>
                  <c:pt idx="4">
                    <c:v>Non Acute</c:v>
                  </c:pt>
                  <c:pt idx="5">
                    <c:v>MH</c:v>
                  </c:pt>
                  <c:pt idx="6">
                    <c:v>Acute</c:v>
                  </c:pt>
                  <c:pt idx="7">
                    <c:v>Non Acute</c:v>
                  </c:pt>
                  <c:pt idx="8">
                    <c:v>MH</c:v>
                  </c:pt>
                  <c:pt idx="9">
                    <c:v>Acute</c:v>
                  </c:pt>
                  <c:pt idx="10">
                    <c:v>Non Acute</c:v>
                  </c:pt>
                  <c:pt idx="11">
                    <c:v>MH</c:v>
                  </c:pt>
                </c:lvl>
                <c:lvl>
                  <c:pt idx="0">
                    <c:v>0-7</c:v>
                  </c:pt>
                  <c:pt idx="3">
                    <c:v>8-14</c:v>
                  </c:pt>
                  <c:pt idx="6">
                    <c:v>15-28</c:v>
                  </c:pt>
                  <c:pt idx="9">
                    <c:v>&gt;28</c:v>
                  </c:pt>
                </c:lvl>
              </c:multiLvlStrCache>
            </c:multiLvlStrRef>
          </c:cat>
          <c:val>
            <c:numRef>
              <c:f>'[Data for Delay Discharge PAC Aug 24.xlsx]Sheet1'!$V$118:$AG$118</c:f>
              <c:numCache>
                <c:formatCode>General</c:formatCode>
                <c:ptCount val="12"/>
                <c:pt idx="0">
                  <c:v>42</c:v>
                </c:pt>
                <c:pt idx="1">
                  <c:v>14</c:v>
                </c:pt>
                <c:pt idx="2">
                  <c:v>15</c:v>
                </c:pt>
                <c:pt idx="3">
                  <c:v>14</c:v>
                </c:pt>
                <c:pt idx="4">
                  <c:v>10</c:v>
                </c:pt>
                <c:pt idx="5">
                  <c:v>10</c:v>
                </c:pt>
                <c:pt idx="6">
                  <c:v>16</c:v>
                </c:pt>
                <c:pt idx="7">
                  <c:v>10</c:v>
                </c:pt>
                <c:pt idx="8">
                  <c:v>10</c:v>
                </c:pt>
                <c:pt idx="9">
                  <c:v>15</c:v>
                </c:pt>
                <c:pt idx="10">
                  <c:v>15</c:v>
                </c:pt>
                <c:pt idx="11">
                  <c:v>24</c:v>
                </c:pt>
              </c:numCache>
            </c:numRef>
          </c:val>
          <c:extLst>
            <c:ext xmlns:c16="http://schemas.microsoft.com/office/drawing/2014/chart" uri="{C3380CC4-5D6E-409C-BE32-E72D297353CC}">
              <c16:uniqueId val="{00000000-3054-4358-82BC-210E729C8EAE}"/>
            </c:ext>
          </c:extLst>
        </c:ser>
        <c:ser>
          <c:idx val="1"/>
          <c:order val="1"/>
          <c:tx>
            <c:strRef>
              <c:f>'[Data for Delay Discharge PAC Aug 24.xlsx]Sheet1'!$U$119</c:f>
              <c:strCache>
                <c:ptCount val="1"/>
                <c:pt idx="0">
                  <c:v>75+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'[Data for Delay Discharge PAC Aug 24.xlsx]Sheet1'!$V$116:$AG$117</c:f>
              <c:multiLvlStrCache>
                <c:ptCount val="12"/>
                <c:lvl>
                  <c:pt idx="0">
                    <c:v>Acute</c:v>
                  </c:pt>
                  <c:pt idx="1">
                    <c:v>Non Acute</c:v>
                  </c:pt>
                  <c:pt idx="2">
                    <c:v>MH</c:v>
                  </c:pt>
                  <c:pt idx="3">
                    <c:v>Acute</c:v>
                  </c:pt>
                  <c:pt idx="4">
                    <c:v>Non Acute</c:v>
                  </c:pt>
                  <c:pt idx="5">
                    <c:v>MH</c:v>
                  </c:pt>
                  <c:pt idx="6">
                    <c:v>Acute</c:v>
                  </c:pt>
                  <c:pt idx="7">
                    <c:v>Non Acute</c:v>
                  </c:pt>
                  <c:pt idx="8">
                    <c:v>MH</c:v>
                  </c:pt>
                  <c:pt idx="9">
                    <c:v>Acute</c:v>
                  </c:pt>
                  <c:pt idx="10">
                    <c:v>Non Acute</c:v>
                  </c:pt>
                  <c:pt idx="11">
                    <c:v>MH</c:v>
                  </c:pt>
                </c:lvl>
                <c:lvl>
                  <c:pt idx="0">
                    <c:v>0-7</c:v>
                  </c:pt>
                  <c:pt idx="3">
                    <c:v>8-14</c:v>
                  </c:pt>
                  <c:pt idx="6">
                    <c:v>15-28</c:v>
                  </c:pt>
                  <c:pt idx="9">
                    <c:v>&gt;28</c:v>
                  </c:pt>
                </c:lvl>
              </c:multiLvlStrCache>
            </c:multiLvlStrRef>
          </c:cat>
          <c:val>
            <c:numRef>
              <c:f>'[Data for Delay Discharge PAC Aug 24.xlsx]Sheet1'!$V$119:$AG$119</c:f>
              <c:numCache>
                <c:formatCode>General</c:formatCode>
                <c:ptCount val="12"/>
                <c:pt idx="0">
                  <c:v>100</c:v>
                </c:pt>
                <c:pt idx="1">
                  <c:v>62</c:v>
                </c:pt>
                <c:pt idx="2">
                  <c:v>10</c:v>
                </c:pt>
                <c:pt idx="3">
                  <c:v>36</c:v>
                </c:pt>
                <c:pt idx="4">
                  <c:v>29</c:v>
                </c:pt>
                <c:pt idx="5">
                  <c:v>0</c:v>
                </c:pt>
                <c:pt idx="6">
                  <c:v>30</c:v>
                </c:pt>
                <c:pt idx="7">
                  <c:v>31</c:v>
                </c:pt>
                <c:pt idx="8">
                  <c:v>10</c:v>
                </c:pt>
                <c:pt idx="9">
                  <c:v>12</c:v>
                </c:pt>
                <c:pt idx="10">
                  <c:v>22</c:v>
                </c:pt>
                <c:pt idx="11">
                  <c:v>10</c:v>
                </c:pt>
              </c:numCache>
            </c:numRef>
          </c:val>
          <c:extLst>
            <c:ext xmlns:c16="http://schemas.microsoft.com/office/drawing/2014/chart" uri="{C3380CC4-5D6E-409C-BE32-E72D297353CC}">
              <c16:uniqueId val="{00000001-3054-4358-82BC-210E729C8EAE}"/>
            </c:ext>
          </c:extLst>
        </c:ser>
        <c:dLbls>
          <c:dLblPos val="outEnd"/>
          <c:showLegendKey val="0"/>
          <c:showVal val="1"/>
          <c:showCatName val="0"/>
          <c:showSerName val="0"/>
          <c:showPercent val="0"/>
          <c:showBubbleSize val="0"/>
        </c:dLbls>
        <c:gapWidth val="219"/>
        <c:overlap val="-27"/>
        <c:axId val="745215535"/>
        <c:axId val="745221295"/>
      </c:barChart>
      <c:catAx>
        <c:axId val="74521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221295"/>
        <c:crosses val="autoZero"/>
        <c:auto val="1"/>
        <c:lblAlgn val="ctr"/>
        <c:lblOffset val="100"/>
        <c:noMultiLvlLbl val="0"/>
      </c:catAx>
      <c:valAx>
        <c:axId val="745221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21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xsi:nil="true"/>
    <SharedWithUsers xmlns="5158ad91-305f-4e5a-b343-6ff76a3f54d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2FDA9-D0D1-46C1-A8E3-74E3D5D77D87}">
  <ds:schemaRefs>
    <ds:schemaRef ds:uri="http://schemas.openxmlformats.org/officeDocument/2006/bibliography"/>
  </ds:schemaRefs>
</ds:datastoreItem>
</file>

<file path=customXml/itemProps2.xml><?xml version="1.0" encoding="utf-8"?>
<ds:datastoreItem xmlns:ds="http://schemas.openxmlformats.org/officeDocument/2006/customXml" ds:itemID="{33CBE4C9-155D-4873-9CDC-B5E07F2B60AD}">
  <ds:schemaRefs>
    <ds:schemaRef ds:uri="http://schemas.microsoft.com/sharepoint/v3/contenttype/forms"/>
  </ds:schemaRefs>
</ds:datastoreItem>
</file>

<file path=customXml/itemProps3.xml><?xml version="1.0" encoding="utf-8"?>
<ds:datastoreItem xmlns:ds="http://schemas.openxmlformats.org/officeDocument/2006/customXml" ds:itemID="{7AB5FC06-3625-4276-A347-C223174F7461}">
  <ds:schemaRefs>
    <ds:schemaRef ds:uri="b176efc7-fb3c-444a-b111-0affc2ccd38d"/>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f6f7d2ac-6dcc-4e03-8312-09fce1d71b85"/>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9B882BE-D917-4806-B97E-884B6B752C8D}"/>
</file>

<file path=docProps/app.xml><?xml version="1.0" encoding="utf-8"?>
<Properties xmlns="http://schemas.openxmlformats.org/officeDocument/2006/extended-properties" xmlns:vt="http://schemas.openxmlformats.org/officeDocument/2006/docPropsVTypes">
  <Template>hscreport[1]</Template>
  <TotalTime>110</TotalTime>
  <Pages>9</Pages>
  <Words>1993</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Style settings for minute</vt:lpstr>
    </vt:vector>
  </TitlesOfParts>
  <Company>Dundee City Council</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settings for minute</dc:title>
  <dc:subject/>
  <dc:creator>arlene hay</dc:creator>
  <cp:keywords/>
  <cp:lastModifiedBy>Lynsey Webster</cp:lastModifiedBy>
  <cp:revision>20</cp:revision>
  <cp:lastPrinted>2019-09-18T01:06:00Z</cp:lastPrinted>
  <dcterms:created xsi:type="dcterms:W3CDTF">2024-08-20T23:16:00Z</dcterms:created>
  <dcterms:modified xsi:type="dcterms:W3CDTF">2024-12-18T13:22:00Z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0x01010033CB50744A573743A40C0C921A82BE97</vt:lpwstr>
  </property>
  <property fmtid="{D5CDD505-2E9C-101B-9397-08002B2CF9AE}" pid="3" name="MediaServiceImageTags">
    <vt:lpwstr/>
  </property>
  <property fmtid="{D5CDD505-2E9C-101B-9397-08002B2CF9AE}" pid="4" name="Order">
    <vt:r8>83300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